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DC" w:rsidRPr="003B75DC" w:rsidRDefault="003B75DC" w:rsidP="003B75DC">
      <w:pPr>
        <w:spacing w:after="0" w:line="240" w:lineRule="auto"/>
        <w:ind w:left="810" w:hanging="810"/>
        <w:jc w:val="center"/>
        <w:rPr>
          <w:b/>
          <w:sz w:val="28"/>
        </w:rPr>
      </w:pPr>
      <w:r w:rsidRPr="003B75DC">
        <w:rPr>
          <w:b/>
          <w:sz w:val="28"/>
        </w:rPr>
        <w:t xml:space="preserve">Comparison of </w:t>
      </w:r>
      <w:r w:rsidR="00BF5A17">
        <w:rPr>
          <w:b/>
          <w:sz w:val="28"/>
        </w:rPr>
        <w:t>Two</w:t>
      </w:r>
      <w:r w:rsidRPr="003B75DC">
        <w:rPr>
          <w:b/>
          <w:sz w:val="28"/>
        </w:rPr>
        <w:t xml:space="preserve"> Methods for Measuring Octane Rating</w:t>
      </w:r>
      <w:r w:rsidR="003C3AE0">
        <w:rPr>
          <w:rStyle w:val="FootnoteReference"/>
          <w:b/>
          <w:sz w:val="28"/>
        </w:rPr>
        <w:footnoteReference w:id="1"/>
      </w:r>
    </w:p>
    <w:p w:rsidR="003B75DC" w:rsidRDefault="003B75DC" w:rsidP="003B75DC">
      <w:pPr>
        <w:spacing w:after="0" w:line="240" w:lineRule="auto"/>
        <w:ind w:left="810" w:hanging="810"/>
        <w:jc w:val="center"/>
      </w:pPr>
    </w:p>
    <w:p w:rsidR="00432CAA" w:rsidRDefault="00913CFA" w:rsidP="003B75DC">
      <w:pPr>
        <w:spacing w:after="0" w:line="240" w:lineRule="auto"/>
        <w:ind w:left="810" w:hanging="810"/>
        <w:jc w:val="center"/>
      </w:pPr>
      <w:r>
        <w:t>Joe Young, Bill Smith, Cindy Lopez</w:t>
      </w:r>
    </w:p>
    <w:p w:rsidR="003B75DC" w:rsidRDefault="003B75DC" w:rsidP="003B75DC">
      <w:pPr>
        <w:spacing w:after="0" w:line="240" w:lineRule="auto"/>
        <w:ind w:left="810" w:hanging="810"/>
        <w:jc w:val="center"/>
      </w:pPr>
    </w:p>
    <w:p w:rsidR="00432CAA" w:rsidRDefault="00913CFA" w:rsidP="003B75DC">
      <w:pPr>
        <w:spacing w:after="0" w:line="240" w:lineRule="auto"/>
        <w:ind w:left="810" w:hanging="810"/>
        <w:jc w:val="center"/>
      </w:pPr>
      <w:r>
        <w:t>September 30, 2013</w:t>
      </w:r>
    </w:p>
    <w:p w:rsidR="00432CAA" w:rsidRDefault="00432CAA" w:rsidP="00432CAA">
      <w:pPr>
        <w:spacing w:after="0" w:line="240" w:lineRule="auto"/>
      </w:pPr>
    </w:p>
    <w:p w:rsidR="00432CAA" w:rsidRDefault="00432CAA" w:rsidP="00432CAA">
      <w:pPr>
        <w:spacing w:after="0" w:line="240" w:lineRule="auto"/>
      </w:pPr>
      <w:r>
        <w:rPr>
          <w:b/>
        </w:rPr>
        <w:t>Objective</w:t>
      </w:r>
    </w:p>
    <w:p w:rsidR="00432CAA" w:rsidRDefault="00432CAA" w:rsidP="00432CAA">
      <w:pPr>
        <w:spacing w:after="0" w:line="240" w:lineRule="auto"/>
      </w:pPr>
      <w:r>
        <w:t>Two methods</w:t>
      </w:r>
      <w:r w:rsidR="00BA0837">
        <w:rPr>
          <w:rStyle w:val="EndnoteReference"/>
        </w:rPr>
        <w:endnoteReference w:id="1"/>
      </w:r>
      <w:r>
        <w:t xml:space="preserve"> for determining the octane ratings of blends of gasoline</w:t>
      </w:r>
      <w:r w:rsidR="00913CFA">
        <w:t xml:space="preserve"> are found in the standard operating procedures for the plant: (1)</w:t>
      </w:r>
      <w:r w:rsidR="003B6467">
        <w:t xml:space="preserve"> </w:t>
      </w:r>
      <w:r w:rsidR="00913CFA">
        <w:t xml:space="preserve">the </w:t>
      </w:r>
      <w:r w:rsidR="003B6467">
        <w:t>motor</w:t>
      </w:r>
      <w:r w:rsidR="00913CFA">
        <w:t xml:space="preserve"> method</w:t>
      </w:r>
      <w:r w:rsidR="003B6467">
        <w:t xml:space="preserve"> and </w:t>
      </w:r>
      <w:r w:rsidR="00913CFA">
        <w:t xml:space="preserve">(2) the </w:t>
      </w:r>
      <w:r w:rsidR="003B6467">
        <w:t>research</w:t>
      </w:r>
      <w:r w:rsidR="008A68A1">
        <w:t xml:space="preserve"> </w:t>
      </w:r>
      <w:r w:rsidR="00913CFA">
        <w:t>method</w:t>
      </w:r>
      <w:r w:rsidR="003B6467">
        <w:t xml:space="preserve">.  Proposed improvements in the control </w:t>
      </w:r>
      <w:r w:rsidR="00AA6A72">
        <w:t xml:space="preserve">system </w:t>
      </w:r>
      <w:r w:rsidR="003B6467">
        <w:t xml:space="preserve">of the reforming and isomerization units require highly </w:t>
      </w:r>
      <w:r w:rsidR="00AA6A72">
        <w:t>consistent</w:t>
      </w:r>
      <w:r w:rsidR="003B6467">
        <w:t xml:space="preserve"> measurements of octane ratings</w:t>
      </w:r>
      <w:r w:rsidR="00AA6A72">
        <w:t>. T</w:t>
      </w:r>
      <w:r w:rsidR="003B6467">
        <w:t xml:space="preserve">his memo outlines experiments </w:t>
      </w:r>
      <w:r w:rsidR="00913CFA">
        <w:t>performed</w:t>
      </w:r>
      <w:r w:rsidR="003B6467">
        <w:t xml:space="preserve"> to assess the agreement between the two methods.</w:t>
      </w:r>
      <w:r w:rsidR="00A23C25">
        <w:t xml:space="preserve"> </w:t>
      </w:r>
    </w:p>
    <w:p w:rsidR="003B6467" w:rsidRDefault="003B6467" w:rsidP="00432CAA">
      <w:pPr>
        <w:spacing w:after="0" w:line="240" w:lineRule="auto"/>
      </w:pPr>
    </w:p>
    <w:p w:rsidR="003B75DC" w:rsidRDefault="003B75DC" w:rsidP="003B75DC">
      <w:pPr>
        <w:spacing w:after="0" w:line="240" w:lineRule="auto"/>
        <w:rPr>
          <w:b/>
        </w:rPr>
      </w:pPr>
      <w:r>
        <w:rPr>
          <w:b/>
        </w:rPr>
        <w:t>Experimental Apparatus</w:t>
      </w:r>
      <w:r w:rsidR="005F11FC">
        <w:rPr>
          <w:b/>
        </w:rPr>
        <w:t xml:space="preserve"> and Procedure</w:t>
      </w:r>
    </w:p>
    <w:p w:rsidR="003B75DC" w:rsidRDefault="003B75DC" w:rsidP="003B75DC">
      <w:pPr>
        <w:spacing w:after="0" w:line="240" w:lineRule="auto"/>
      </w:pPr>
      <w:r>
        <w:t xml:space="preserve">Two 100 </w:t>
      </w:r>
      <w:proofErr w:type="spellStart"/>
      <w:r>
        <w:t>hp</w:t>
      </w:r>
      <w:proofErr w:type="spellEnd"/>
      <w:r>
        <w:t xml:space="preserve"> calibrated engines were used to conduct the octane rating tests. The motor method used a 900 rpm motor with preheated fuel, while the research method used a standardized engine at 600 rpm. At a certain load, the engine will </w:t>
      </w:r>
      <w:r w:rsidR="00276479">
        <w:t xml:space="preserve">knock, resulting in a pinging noise from ignition of the fuel at more than one location. </w:t>
      </w:r>
      <w:r w:rsidR="005F11FC">
        <w:t xml:space="preserve">The amount of knock is measured using a “Knock meter,” which measures the magnitude of vibration in the piston due to knock. </w:t>
      </w:r>
      <w:r w:rsidR="000E7DFD">
        <w:t xml:space="preserve">Figure </w:t>
      </w:r>
      <w:r w:rsidR="00BF5A17">
        <w:t xml:space="preserve">1 shows a photo of the 600 rpm </w:t>
      </w:r>
      <w:r w:rsidR="000E7DFD">
        <w:t>motor used in this experiment.</w:t>
      </w:r>
    </w:p>
    <w:p w:rsidR="000E7DFD" w:rsidRDefault="000E7DFD" w:rsidP="003B75DC">
      <w:pPr>
        <w:spacing w:after="0" w:line="240" w:lineRule="auto"/>
      </w:pPr>
    </w:p>
    <w:p w:rsidR="000E7DFD" w:rsidRDefault="000E7DFD" w:rsidP="000E7DF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D911BB2" wp14:editId="32E03FB3">
            <wp:extent cx="1860331" cy="1549773"/>
            <wp:effectExtent l="0" t="0" r="6985" b="0"/>
            <wp:docPr id="2" name="Picture 2" descr="http://www.smartplugs.com/images/engines/cfra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martplugs.com/images/engines/cfrast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13" cy="15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FD" w:rsidRPr="009E2712" w:rsidRDefault="000E7DFD" w:rsidP="000E7DFD">
      <w:pPr>
        <w:spacing w:after="0" w:line="240" w:lineRule="auto"/>
        <w:jc w:val="center"/>
        <w:rPr>
          <w:b/>
          <w:sz w:val="18"/>
        </w:rPr>
      </w:pPr>
      <w:proofErr w:type="gramStart"/>
      <w:r w:rsidRPr="009E2712">
        <w:rPr>
          <w:b/>
          <w:sz w:val="18"/>
        </w:rPr>
        <w:t>Figure 1.</w:t>
      </w:r>
      <w:proofErr w:type="gramEnd"/>
      <w:r w:rsidRPr="009E2712">
        <w:rPr>
          <w:b/>
          <w:sz w:val="18"/>
        </w:rPr>
        <w:t xml:space="preserve"> Photo of the CFR ASTM test engine used to measure octane rating.</w:t>
      </w:r>
    </w:p>
    <w:p w:rsidR="005F11FC" w:rsidRDefault="005F11FC" w:rsidP="003B75DC">
      <w:pPr>
        <w:spacing w:after="0" w:line="240" w:lineRule="auto"/>
      </w:pPr>
    </w:p>
    <w:p w:rsidR="005F11FC" w:rsidRDefault="005F11FC" w:rsidP="003B75DC">
      <w:pPr>
        <w:spacing w:after="0" w:line="240" w:lineRule="auto"/>
      </w:pPr>
      <w:r>
        <w:t>The procedure is to run three fuels through the engine. A calibrated fuel</w:t>
      </w:r>
      <w:r w:rsidR="00423929">
        <w:t xml:space="preserve"> with known octane rating</w:t>
      </w:r>
      <w:r>
        <w:t xml:space="preserve"> is run in the engine and the pressure ratio is changed t</w:t>
      </w:r>
      <w:r w:rsidR="00BF5A17">
        <w:t>o obtain maximum knock. The air-to-</w:t>
      </w:r>
      <w:r>
        <w:t xml:space="preserve">fuel ratio is then changed at that pressure ratio until a maximum is observed in the knock meter. A second calibrated fuel is then run at the same pressure ratio that gave maximum knock for the first fuel, and the air-to-fuel ratio is </w:t>
      </w:r>
      <w:r w:rsidR="00BF5A17">
        <w:t xml:space="preserve">again </w:t>
      </w:r>
      <w:r>
        <w:t xml:space="preserve">changed to obtain maximum knock. Finally the fuel of interest is run at the same pressure ratio as fuel 2, changing the air-to-fuel ratio to obtain maximum knock. The knock meter reading from the fuel </w:t>
      </w:r>
      <w:r w:rsidR="00BF5A17">
        <w:t xml:space="preserve">of </w:t>
      </w:r>
      <w:r>
        <w:t xml:space="preserve">interest is a linear combination of the knock readings from the two calibrated fuels, and is then used to interpolate the </w:t>
      </w:r>
      <w:r w:rsidR="00423929">
        <w:t>octane</w:t>
      </w:r>
      <w:r>
        <w:t xml:space="preserve"> rating for the fuel of interest.</w:t>
      </w:r>
    </w:p>
    <w:p w:rsidR="005F11FC" w:rsidRDefault="005F11FC" w:rsidP="003B75DC">
      <w:pPr>
        <w:spacing w:after="0" w:line="240" w:lineRule="auto"/>
      </w:pPr>
    </w:p>
    <w:p w:rsidR="005F11FC" w:rsidRPr="00BF5A17" w:rsidRDefault="005F11FC" w:rsidP="003B75DC">
      <w:pPr>
        <w:spacing w:after="0" w:line="240" w:lineRule="auto"/>
        <w:rPr>
          <w:b/>
        </w:rPr>
      </w:pPr>
      <w:r w:rsidRPr="00BF5A17">
        <w:rPr>
          <w:b/>
        </w:rPr>
        <w:t>Theory</w:t>
      </w:r>
    </w:p>
    <w:p w:rsidR="005F11FC" w:rsidRDefault="005F11FC" w:rsidP="003B75DC">
      <w:pPr>
        <w:spacing w:after="0" w:line="240" w:lineRule="auto"/>
      </w:pPr>
      <w:r>
        <w:t xml:space="preserve">The ratio of the knock meter readings must be equal to the ratio of the </w:t>
      </w:r>
      <w:r w:rsidR="00BF5A17">
        <w:t>octane</w:t>
      </w:r>
      <w:r>
        <w:t xml:space="preserve"> ratings. </w:t>
      </w:r>
      <w:r w:rsidR="00423929">
        <w:t>If the first calibrated fuel has a</w:t>
      </w:r>
      <w:r w:rsidR="00BF5A17">
        <w:t>n</w:t>
      </w:r>
      <w:r w:rsidR="00423929">
        <w:t xml:space="preserve"> </w:t>
      </w:r>
      <w:r w:rsidR="00BF5A17">
        <w:t>octane</w:t>
      </w:r>
      <w:r w:rsidR="00423929">
        <w:t xml:space="preserve"> rating of </w:t>
      </w:r>
      <w:r>
        <w:t>8</w:t>
      </w:r>
      <w:r w:rsidR="00423929">
        <w:t>7</w:t>
      </w:r>
      <w:r>
        <w:t xml:space="preserve"> and </w:t>
      </w:r>
      <w:r w:rsidR="00423929">
        <w:t>the second calibrated fuel has a</w:t>
      </w:r>
      <w:r w:rsidR="00BF5A17">
        <w:t>n</w:t>
      </w:r>
      <w:r w:rsidR="00423929">
        <w:t xml:space="preserve"> </w:t>
      </w:r>
      <w:r w:rsidR="00BF5A17">
        <w:t>octane</w:t>
      </w:r>
      <w:r w:rsidR="00423929">
        <w:t xml:space="preserve"> rating of 85, the </w:t>
      </w:r>
      <w:r w:rsidR="00423929">
        <w:lastRenderedPageBreak/>
        <w:t>knock rating (OR</w:t>
      </w:r>
      <w:r w:rsidR="00423929">
        <w:rPr>
          <w:vertAlign w:val="subscript"/>
        </w:rPr>
        <w:t>3</w:t>
      </w:r>
      <w:r w:rsidR="00423929">
        <w:t>) of the desired fuel can be determined from the knock meter readings (KMR) in the engine, as follows:</w:t>
      </w:r>
    </w:p>
    <w:p w:rsidR="00423929" w:rsidRDefault="00423929" w:rsidP="003B75DC">
      <w:pPr>
        <w:spacing w:after="0" w:line="240" w:lineRule="auto"/>
      </w:pPr>
    </w:p>
    <w:p w:rsidR="00423929" w:rsidRPr="00423929" w:rsidRDefault="00423929" w:rsidP="00423929">
      <w:pPr>
        <w:tabs>
          <w:tab w:val="center" w:pos="4680"/>
          <w:tab w:val="right" w:pos="9270"/>
        </w:tabs>
        <w:spacing w:after="0" w:line="240" w:lineRule="auto"/>
      </w:pPr>
      <w: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</w:rPr>
              <m:t>-O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-O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</w:rPr>
              <m:t>-85</m:t>
            </m:r>
          </m:num>
          <m:den>
            <m:r>
              <w:rPr>
                <w:rFonts w:ascii="Cambria Math" w:hAnsi="Cambria Math"/>
                <w:sz w:val="28"/>
              </w:rPr>
              <m:t>87-85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KM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</w:rPr>
              <m:t>-KM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KM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-KM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</w:rPr>
          <m:t xml:space="preserve"> </m:t>
        </m:r>
      </m:oMath>
      <w:r>
        <w:rPr>
          <w:rFonts w:eastAsiaTheme="minorEastAsia"/>
        </w:rPr>
        <w:tab/>
        <w:t>(1)</w:t>
      </w:r>
    </w:p>
    <w:p w:rsidR="00423929" w:rsidRDefault="00423929" w:rsidP="003B75DC">
      <w:pPr>
        <w:spacing w:after="0" w:line="240" w:lineRule="auto"/>
      </w:pPr>
    </w:p>
    <w:p w:rsidR="003B75DC" w:rsidRDefault="00423929" w:rsidP="003B75DC">
      <w:pPr>
        <w:spacing w:after="0" w:line="240" w:lineRule="auto"/>
      </w:pPr>
      <w:proofErr w:type="gramStart"/>
      <w:r>
        <w:t>where</w:t>
      </w:r>
      <w:proofErr w:type="gramEnd"/>
      <w:r>
        <w:t xml:space="preserve"> the subscript “3” refers to the fuel of interest. </w:t>
      </w:r>
    </w:p>
    <w:p w:rsidR="00423929" w:rsidRDefault="00423929" w:rsidP="003B75DC">
      <w:pPr>
        <w:spacing w:after="0" w:line="240" w:lineRule="auto"/>
      </w:pPr>
    </w:p>
    <w:p w:rsidR="003B6467" w:rsidRDefault="005F11FC" w:rsidP="00432CAA">
      <w:pPr>
        <w:spacing w:after="0" w:line="240" w:lineRule="auto"/>
        <w:rPr>
          <w:b/>
        </w:rPr>
      </w:pPr>
      <w:r>
        <w:rPr>
          <w:b/>
        </w:rPr>
        <w:t>Experimental Method</w:t>
      </w:r>
    </w:p>
    <w:p w:rsidR="000C5164" w:rsidRDefault="00DB6428" w:rsidP="00432CAA">
      <w:pPr>
        <w:spacing w:after="0" w:line="240" w:lineRule="auto"/>
      </w:pPr>
      <w:r>
        <w:t xml:space="preserve">Thirty-two </w:t>
      </w:r>
      <w:r w:rsidR="008A68A1">
        <w:t>blends of gasoline</w:t>
      </w:r>
      <w:r w:rsidR="000C5164">
        <w:t xml:space="preserve"> (</w:t>
      </w:r>
      <m:oMath>
        <m:r>
          <w:rPr>
            <w:rFonts w:ascii="Cambria Math" w:hAnsi="Cambria Math" w:cstheme="minorHAnsi"/>
          </w:rPr>
          <m:t>n</m:t>
        </m:r>
      </m:oMath>
      <w:r w:rsidR="00BD3972">
        <w:rPr>
          <w:rFonts w:eastAsiaTheme="minorEastAsia"/>
        </w:rPr>
        <w:t xml:space="preserve"> = 32</w:t>
      </w:r>
      <w:r w:rsidR="000C5164">
        <w:t>)</w:t>
      </w:r>
      <w:r w:rsidR="008A68A1">
        <w:t xml:space="preserve"> </w:t>
      </w:r>
      <w:r>
        <w:t xml:space="preserve">were created by combining 2 gallons </w:t>
      </w:r>
      <w:r w:rsidR="008A68A1">
        <w:t xml:space="preserve">of </w:t>
      </w:r>
      <w:r>
        <w:t>normal pentane (62 octane) with varying amounts of tolu</w:t>
      </w:r>
      <w:r w:rsidR="008A68A1">
        <w:t>e</w:t>
      </w:r>
      <w:r>
        <w:t>ne (120 octane)</w:t>
      </w:r>
      <w:r w:rsidR="008A68A1">
        <w:t xml:space="preserve"> to create test samples with octanes in the range 80 – 110. After thorough mixing, each blend was separated into two samples of equal volume</w:t>
      </w:r>
      <w:r w:rsidR="000C5164">
        <w:t>.  The octane of one</w:t>
      </w:r>
      <w:r w:rsidR="008A68A1">
        <w:t xml:space="preserve"> sample was measured using Method #1 and the other using Method #2. </w:t>
      </w:r>
    </w:p>
    <w:p w:rsidR="000C5164" w:rsidRDefault="000C5164" w:rsidP="00432CAA">
      <w:pPr>
        <w:spacing w:after="0" w:line="240" w:lineRule="auto"/>
      </w:pPr>
    </w:p>
    <w:p w:rsidR="003B6467" w:rsidRDefault="008A68A1" w:rsidP="00432CAA">
      <w:pPr>
        <w:spacing w:after="0" w:line="240" w:lineRule="auto"/>
        <w:rPr>
          <w:rFonts w:eastAsiaTheme="minorEastAsia"/>
        </w:rPr>
      </w:pPr>
      <w:r>
        <w:t xml:space="preserve">To determine if the two methods give the </w:t>
      </w:r>
      <w:r w:rsidR="000C5164">
        <w:t xml:space="preserve">same octane rating given the same gasoline blend, the results were analyzed using a paired </w:t>
      </w:r>
      <w:r w:rsidR="000C5164">
        <w:rPr>
          <w:i/>
        </w:rPr>
        <w:t>t</w:t>
      </w:r>
      <w:r w:rsidR="000C5164">
        <w:rPr>
          <w:i/>
        </w:rPr>
        <w:softHyphen/>
      </w:r>
      <w:r w:rsidR="000C5164">
        <w:t>-test.</w:t>
      </w:r>
      <w:r w:rsidR="00BA0837">
        <w:rPr>
          <w:rStyle w:val="EndnoteReference"/>
        </w:rPr>
        <w:endnoteReference w:id="2"/>
      </w:r>
      <w:r w:rsidR="000C5164">
        <w:t xml:space="preserve">   </w:t>
      </w:r>
      <w:proofErr w:type="gramStart"/>
      <w:r w:rsidR="000C5164">
        <w:t xml:space="preserve">This </w:t>
      </w:r>
      <w:r w:rsidR="00913CFA">
        <w:t xml:space="preserve">test </w:t>
      </w:r>
      <w:r w:rsidR="000C5164">
        <w:t xml:space="preserve">was </w:t>
      </w:r>
      <w:r w:rsidR="00913CFA">
        <w:t>performed</w:t>
      </w:r>
      <w:r w:rsidR="000C5164">
        <w:t xml:space="preserve"> by defining the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th</m:t>
            </m:r>
          </m:sup>
        </m:sSup>
      </m:oMath>
      <w:r w:rsidR="000C5164">
        <w:t xml:space="preserve"> difference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1,i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2,i</m:t>
            </m:r>
          </m:sub>
        </m:sSub>
      </m:oMath>
      <w:r w:rsidR="000C5164">
        <w:rPr>
          <w:rFonts w:eastAsiaTheme="minorEastAsia"/>
        </w:rPr>
        <w:t xml:space="preserve"> 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1,i</m:t>
            </m:r>
          </m:sub>
        </m:sSub>
      </m:oMath>
      <w:r w:rsidR="000C5164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2,i</m:t>
            </m:r>
          </m:sub>
        </m:sSub>
      </m:oMath>
      <w:r w:rsidR="000C5164">
        <w:rPr>
          <w:rFonts w:eastAsiaTheme="minorEastAsia"/>
        </w:rPr>
        <w:t xml:space="preserve"> are</w:t>
      </w:r>
      <w:proofErr w:type="gramEnd"/>
      <w:r w:rsidR="000C5164">
        <w:rPr>
          <w:rFonts w:eastAsiaTheme="minorEastAsia"/>
        </w:rPr>
        <w:t xml:space="preserve"> the</w:t>
      </w:r>
      <w:r w:rsidR="00DB6FDD">
        <w:rPr>
          <w:rFonts w:eastAsiaTheme="minorEastAsia"/>
        </w:rPr>
        <w:t xml:space="preserve"> octa</w:t>
      </w:r>
      <w:r w:rsidR="00BD3972">
        <w:rPr>
          <w:rFonts w:eastAsiaTheme="minorEastAsia"/>
        </w:rPr>
        <w:t>ne</w:t>
      </w:r>
      <w:r w:rsidR="000C5164">
        <w:rPr>
          <w:rFonts w:eastAsiaTheme="minorEastAsia"/>
        </w:rPr>
        <w:t xml:space="preserve"> rating</w:t>
      </w:r>
      <w:r w:rsidR="00BD3972">
        <w:rPr>
          <w:rFonts w:eastAsiaTheme="minorEastAsia"/>
        </w:rPr>
        <w:t>s</w:t>
      </w:r>
      <w:r w:rsidR="000C5164">
        <w:rPr>
          <w:rFonts w:eastAsiaTheme="minorEastAsia"/>
        </w:rPr>
        <w:t xml:space="preserve"> given by the first</w:t>
      </w:r>
      <w:r w:rsidR="00BD3972">
        <w:rPr>
          <w:rFonts w:eastAsiaTheme="minorEastAsia"/>
        </w:rPr>
        <w:t xml:space="preserve"> and </w:t>
      </w:r>
      <w:r w:rsidR="000C5164">
        <w:rPr>
          <w:rFonts w:eastAsiaTheme="minorEastAsia"/>
        </w:rPr>
        <w:t>second method</w:t>
      </w:r>
      <w:r w:rsidR="00BD3972">
        <w:rPr>
          <w:rFonts w:eastAsiaTheme="minorEastAsia"/>
        </w:rPr>
        <w:t>s</w:t>
      </w:r>
      <w:r w:rsidR="000C5164">
        <w:rPr>
          <w:rFonts w:eastAsiaTheme="minorEastAsia"/>
        </w:rPr>
        <w:t xml:space="preserve"> respectively for the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th</m:t>
            </m:r>
          </m:sup>
        </m:sSup>
      </m:oMath>
      <w:r w:rsidR="000C5164">
        <w:rPr>
          <w:rFonts w:eastAsiaTheme="minorEastAsia"/>
        </w:rPr>
        <w:t xml:space="preserve"> sample.  </w:t>
      </w:r>
      <w:r w:rsidR="001A04C4">
        <w:rPr>
          <w:rFonts w:eastAsiaTheme="minorEastAsia"/>
        </w:rPr>
        <w:t xml:space="preserve">The hypothesis </w:t>
      </w:r>
      <m:oMath>
        <m:r>
          <w:rPr>
            <w:rFonts w:ascii="Cambria Math" w:eastAsiaTheme="minorEastAsia" w:hAnsi="Cambria Math"/>
          </w:rPr>
          <m:t>δ</m:t>
        </m:r>
      </m:oMath>
      <w:r w:rsidR="001A04C4">
        <w:rPr>
          <w:rFonts w:eastAsiaTheme="minorEastAsia"/>
        </w:rPr>
        <w:t xml:space="preserve"> = 0,</w:t>
      </w:r>
      <w:r w:rsidR="00AA6A72"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δ</m:t>
        </m:r>
      </m:oMath>
      <w:r w:rsidR="00AA6A72">
        <w:rPr>
          <w:rFonts w:eastAsiaTheme="minorEastAsia"/>
        </w:rPr>
        <w:t xml:space="preserve"> is the true mean difference between the two methods, was tested at the 95% confidence level (</w:t>
      </w:r>
      <m:oMath>
        <m:r>
          <w:rPr>
            <w:rFonts w:ascii="Cambria Math" w:eastAsiaTheme="minorEastAsia" w:hAnsi="Cambria Math"/>
          </w:rPr>
          <m:t>α</m:t>
        </m:r>
      </m:oMath>
      <w:r w:rsidR="00AA6A72">
        <w:rPr>
          <w:rFonts w:eastAsiaTheme="minorEastAsia"/>
        </w:rPr>
        <w:t xml:space="preserve"> = 0.05).</w:t>
      </w:r>
    </w:p>
    <w:p w:rsidR="00BA5F50" w:rsidRDefault="00BA5F50" w:rsidP="00432CAA">
      <w:pPr>
        <w:spacing w:after="0" w:line="240" w:lineRule="auto"/>
        <w:rPr>
          <w:rFonts w:eastAsiaTheme="minorEastAsia"/>
        </w:rPr>
      </w:pPr>
    </w:p>
    <w:p w:rsidR="00BA5F50" w:rsidRDefault="00BA5F50" w:rsidP="00432CAA">
      <w:pPr>
        <w:spacing w:after="0"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>Results</w:t>
      </w:r>
      <w:r w:rsidR="000C0A59">
        <w:rPr>
          <w:rFonts w:eastAsiaTheme="minorEastAsia"/>
          <w:b/>
        </w:rPr>
        <w:t xml:space="preserve"> and Analysis</w:t>
      </w:r>
    </w:p>
    <w:p w:rsidR="006E6FAD" w:rsidRDefault="000E7DFD" w:rsidP="00432CAA">
      <w:pPr>
        <w:spacing w:after="0" w:line="240" w:lineRule="auto"/>
      </w:pPr>
      <w:r>
        <w:t>T</w:t>
      </w:r>
      <w:r w:rsidR="00445378">
        <w:t xml:space="preserve">he results of </w:t>
      </w:r>
      <w:r w:rsidR="00913CFA">
        <w:t>32</w:t>
      </w:r>
      <w:r w:rsidR="00445378">
        <w:t xml:space="preserve"> tests</w:t>
      </w:r>
      <w:r w:rsidR="00913CFA">
        <w:t xml:space="preserve"> </w:t>
      </w:r>
      <w:r>
        <w:t xml:space="preserve">are shown in Figure 2 </w:t>
      </w:r>
      <w:r w:rsidR="00913CFA">
        <w:t>on a parity plot</w:t>
      </w:r>
      <w:r>
        <w:t xml:space="preserve"> (i.e., octane rating of Method #2 vs. octane rating of Method #1)</w:t>
      </w:r>
      <w:r w:rsidR="00445378">
        <w:t>.  Each blend appears as one point on the graph</w:t>
      </w:r>
      <w:r w:rsidR="00913CFA">
        <w:t>. The data points do not lie on the parity line.</w:t>
      </w:r>
      <w:r w:rsidR="00445378">
        <w:t xml:space="preserve"> In each case, Method #2 produces </w:t>
      </w:r>
      <w:r w:rsidR="006E6FAD">
        <w:t xml:space="preserve">higher octane rating than Method #1.  The amount of disparity is not correlated with octane value </w:t>
      </w:r>
      <w:r w:rsidR="00913CFA">
        <w:t>since</w:t>
      </w:r>
      <w:r w:rsidR="006E6FAD">
        <w:t xml:space="preserve"> similar differences </w:t>
      </w:r>
      <w:r w:rsidR="00913CFA">
        <w:t xml:space="preserve">between the two methods </w:t>
      </w:r>
      <w:r w:rsidR="006E6FAD">
        <w:t>are found at both high and low ratings.</w:t>
      </w:r>
    </w:p>
    <w:p w:rsidR="004360D5" w:rsidRDefault="004360D5" w:rsidP="00432CAA">
      <w:pPr>
        <w:spacing w:after="0" w:line="240" w:lineRule="auto"/>
      </w:pPr>
    </w:p>
    <w:p w:rsidR="00C04B17" w:rsidRDefault="00C04B17" w:rsidP="00C04B17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5FF88D2B" wp14:editId="5D4C8DF9">
            <wp:extent cx="4245714" cy="2551611"/>
            <wp:effectExtent l="0" t="0" r="254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C04B17" w:rsidRPr="001E0313" w:rsidRDefault="00C04B17" w:rsidP="00C04B17">
      <w:pPr>
        <w:pStyle w:val="Caption"/>
        <w:jc w:val="center"/>
        <w:rPr>
          <w:color w:val="000000" w:themeColor="text1"/>
        </w:rPr>
      </w:pPr>
      <w:proofErr w:type="gramStart"/>
      <w:r w:rsidRPr="001E0313">
        <w:rPr>
          <w:color w:val="000000" w:themeColor="text1"/>
        </w:rPr>
        <w:t xml:space="preserve">Figure </w:t>
      </w:r>
      <w:r w:rsidR="000E7DFD">
        <w:rPr>
          <w:color w:val="000000" w:themeColor="text1"/>
        </w:rPr>
        <w:t>2.</w:t>
      </w:r>
      <w:proofErr w:type="gramEnd"/>
      <w:r w:rsidR="007B1844">
        <w:rPr>
          <w:color w:val="000000" w:themeColor="text1"/>
        </w:rPr>
        <w:t xml:space="preserve"> Comparison of octane measurements using the motor (Method #1) and research (Method #2) m</w:t>
      </w:r>
      <w:r w:rsidRPr="001E0313">
        <w:rPr>
          <w:color w:val="000000" w:themeColor="text1"/>
        </w:rPr>
        <w:t>ethods.</w:t>
      </w:r>
    </w:p>
    <w:p w:rsidR="00623265" w:rsidRDefault="00623265" w:rsidP="00432CAA">
      <w:pPr>
        <w:spacing w:after="0" w:line="240" w:lineRule="auto"/>
      </w:pPr>
    </w:p>
    <w:p w:rsidR="00CD56FA" w:rsidRPr="00BA5F50" w:rsidRDefault="00CD56FA" w:rsidP="00CD56FA">
      <w:pPr>
        <w:spacing w:after="0" w:line="240" w:lineRule="auto"/>
      </w:pPr>
      <w:r>
        <w:t>The statistical analysis of the results requires the calculation of the difference in the octane values produced using the two methods for each sample.  These data are found in Table 1 along with the exact octane ratings obtained using each method for the 32 blends of gasoline tested</w:t>
      </w:r>
      <w:r w:rsidR="0065559A">
        <w:t xml:space="preserve">. </w:t>
      </w:r>
      <w:r>
        <w:t xml:space="preserve">The data are presented </w:t>
      </w:r>
      <w:r>
        <w:lastRenderedPageBreak/>
        <w:t xml:space="preserve">in order of ascending octane values, but the samples were created and tested in a random manner as indicated by the first column in Table 1. </w:t>
      </w:r>
    </w:p>
    <w:p w:rsidR="00CD56FA" w:rsidRDefault="00CD56FA" w:rsidP="00432CAA">
      <w:pPr>
        <w:spacing w:after="0" w:line="240" w:lineRule="auto"/>
      </w:pPr>
    </w:p>
    <w:p w:rsidR="00466F61" w:rsidRPr="007B1844" w:rsidRDefault="00466F61" w:rsidP="00466F61">
      <w:pPr>
        <w:pStyle w:val="Caption"/>
        <w:keepNext/>
        <w:jc w:val="center"/>
        <w:rPr>
          <w:color w:val="auto"/>
        </w:rPr>
      </w:pPr>
      <w:proofErr w:type="gramStart"/>
      <w:r w:rsidRPr="007B1844">
        <w:rPr>
          <w:color w:val="auto"/>
        </w:rPr>
        <w:t xml:space="preserve">Table </w:t>
      </w:r>
      <w:proofErr w:type="gramEnd"/>
      <w:r w:rsidRPr="007B1844">
        <w:rPr>
          <w:color w:val="auto"/>
        </w:rPr>
        <w:fldChar w:fldCharType="begin"/>
      </w:r>
      <w:r w:rsidRPr="007B1844">
        <w:rPr>
          <w:color w:val="auto"/>
        </w:rPr>
        <w:instrText xml:space="preserve"> SEQ Table \* ARABIC </w:instrText>
      </w:r>
      <w:r w:rsidRPr="007B1844">
        <w:rPr>
          <w:color w:val="auto"/>
        </w:rPr>
        <w:fldChar w:fldCharType="separate"/>
      </w:r>
      <w:r w:rsidR="009E2712">
        <w:rPr>
          <w:noProof/>
          <w:color w:val="auto"/>
        </w:rPr>
        <w:t>1</w:t>
      </w:r>
      <w:r w:rsidRPr="007B1844">
        <w:rPr>
          <w:color w:val="auto"/>
        </w:rPr>
        <w:fldChar w:fldCharType="end"/>
      </w:r>
      <w:proofErr w:type="gramStart"/>
      <w:r w:rsidR="009E2712">
        <w:rPr>
          <w:color w:val="auto"/>
        </w:rPr>
        <w:t>.</w:t>
      </w:r>
      <w:proofErr w:type="gramEnd"/>
      <w:r w:rsidRPr="007B1844">
        <w:rPr>
          <w:color w:val="auto"/>
        </w:rPr>
        <w:t xml:space="preserve"> </w:t>
      </w:r>
      <w:r w:rsidR="00FF6273">
        <w:rPr>
          <w:color w:val="auto"/>
        </w:rPr>
        <w:t>Differences in the o</w:t>
      </w:r>
      <w:r w:rsidRPr="007B1844">
        <w:rPr>
          <w:color w:val="auto"/>
        </w:rPr>
        <w:t>ctane values obtained using both the motor and research methods for 32 Samples</w:t>
      </w:r>
    </w:p>
    <w:tbl>
      <w:tblPr>
        <w:tblW w:w="4522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206"/>
        <w:gridCol w:w="1206"/>
        <w:gridCol w:w="1150"/>
      </w:tblGrid>
      <w:tr w:rsidR="00466F61" w:rsidRPr="00466F61" w:rsidTr="00466F61">
        <w:trPr>
          <w:trHeight w:val="315"/>
          <w:jc w:val="center"/>
        </w:trPr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Sample</w:t>
            </w:r>
          </w:p>
        </w:tc>
        <w:tc>
          <w:tcPr>
            <w:tcW w:w="120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Method 1</w:t>
            </w:r>
          </w:p>
        </w:tc>
        <w:tc>
          <w:tcPr>
            <w:tcW w:w="120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Method 2</w:t>
            </w: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Difference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81.4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83.3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-1.9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31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82.2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93.5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-11.3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83.1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89.2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-6.1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83.8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85.9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-2.1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94.7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-10.7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84.7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88.8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-4.1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84.8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95.3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-10.5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92.8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-7.8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85.9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-11.1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86.2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93.6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-7.4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86.5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92.3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-5.8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86.8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96.5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-9.7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87.4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97.5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-10.1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87.7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97.4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-9.7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87.7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93.9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-6.2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87.9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95.7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-7.8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88.1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99.7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-11.6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89.3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100.2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-10.9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99.1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-9.1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90.2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98.6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-8.4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90.2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99.5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-9.3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90.7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98.4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-7.7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91.3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97.4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-6.1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91.4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99.4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-8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91.4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94.1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-2.7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91.7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96.3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-4.6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92.4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99.8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-7.4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93.7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101.3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-7.6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94.7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103.1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-8.4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98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101.9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-3.9</w:t>
            </w:r>
          </w:p>
        </w:tc>
      </w:tr>
      <w:tr w:rsidR="00466F61" w:rsidRPr="00466F61" w:rsidTr="00466F6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105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106.6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-1.6</w:t>
            </w:r>
          </w:p>
        </w:tc>
      </w:tr>
      <w:tr w:rsidR="00466F61" w:rsidRPr="00466F61" w:rsidTr="00466F61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105.5</w:t>
            </w:r>
          </w:p>
        </w:tc>
        <w:tc>
          <w:tcPr>
            <w:tcW w:w="12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106.2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F61" w:rsidRPr="009E2712" w:rsidRDefault="00466F61" w:rsidP="009E2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2712">
              <w:rPr>
                <w:rFonts w:ascii="Calibri" w:eastAsia="Times New Roman" w:hAnsi="Calibri" w:cs="Calibri"/>
                <w:color w:val="000000"/>
                <w:sz w:val="20"/>
              </w:rPr>
              <w:t>-0.7</w:t>
            </w:r>
          </w:p>
        </w:tc>
      </w:tr>
    </w:tbl>
    <w:p w:rsidR="00466F61" w:rsidRDefault="00466F61" w:rsidP="00432CAA">
      <w:pPr>
        <w:spacing w:after="0" w:line="240" w:lineRule="auto"/>
      </w:pPr>
    </w:p>
    <w:p w:rsidR="00466F61" w:rsidRDefault="00466F61" w:rsidP="00432CAA">
      <w:pPr>
        <w:spacing w:after="0" w:line="240" w:lineRule="auto"/>
      </w:pPr>
    </w:p>
    <w:p w:rsidR="00B765B4" w:rsidRDefault="00BF5A17" w:rsidP="00B765B4">
      <w:pPr>
        <w:spacing w:after="0" w:line="240" w:lineRule="auto"/>
      </w:pPr>
      <w:r>
        <w:t>The average difference is -7.1</w:t>
      </w:r>
      <w:r w:rsidR="00FE709F">
        <w:t xml:space="preserve"> and the standard dev</w:t>
      </w:r>
      <w:r>
        <w:t>iation of the difference is 3.0</w:t>
      </w:r>
      <w:r w:rsidR="00FE709F">
        <w:t xml:space="preserve">. </w:t>
      </w:r>
      <w:r w:rsidR="00466F61">
        <w:t xml:space="preserve">Differences are not dependent upon the magnitude of the octane value </w:t>
      </w:r>
      <w:r w:rsidR="0026394A">
        <w:t>since</w:t>
      </w:r>
      <w:r w:rsidR="00466F61">
        <w:t xml:space="preserve"> both large and small differences are found throughout the entire range of octanes. </w:t>
      </w:r>
      <w:r w:rsidR="00FE709F">
        <w:t xml:space="preserve"> The test statistic</w:t>
      </w:r>
      <w:r w:rsidR="00466F61">
        <w:t xml:space="preserve"> for the average</w:t>
      </w:r>
      <w:r w:rsidR="00682C34">
        <w:t xml:space="preserve"> difference being equal to 0</w:t>
      </w:r>
      <w:r w:rsidR="00FE709F">
        <w:t>, with 3</w:t>
      </w:r>
      <w:r>
        <w:t>1 degrees of freedom, is -13.2</w:t>
      </w:r>
      <w:r w:rsidR="00FE709F">
        <w:t xml:space="preserve">.  At the 95% confidence level, the two-tail t-statistic for 31 degrees </w:t>
      </w:r>
      <w:r w:rsidR="00FE709F">
        <w:lastRenderedPageBreak/>
        <w:t>of f</w:t>
      </w:r>
      <w:r>
        <w:t>reedom is 2.040.  Since |-13.2</w:t>
      </w:r>
      <w:r w:rsidR="00FE709F">
        <w:t xml:space="preserve">| &gt; 2.040, there is sufficient evidence to conclude that the two methods for calculating the octane rating of a sample of gasoline do not produce the same results.  The 95% confidence interval for the difference </w:t>
      </w:r>
      <w:r w:rsidR="00C13319">
        <w:t>indicates that M</w:t>
      </w:r>
      <w:r w:rsidR="00FE709F">
        <w:t xml:space="preserve">ethod </w:t>
      </w:r>
      <w:r w:rsidR="00C13319">
        <w:t>#</w:t>
      </w:r>
      <w:r w:rsidR="00FE709F">
        <w:t xml:space="preserve">2 </w:t>
      </w:r>
      <w:r w:rsidR="00C13319">
        <w:t xml:space="preserve">generates ratings between 6.0 and 8.2 </w:t>
      </w:r>
      <w:r w:rsidR="00376342">
        <w:t xml:space="preserve">octane </w:t>
      </w:r>
      <w:r w:rsidR="00F11D75">
        <w:t xml:space="preserve">units </w:t>
      </w:r>
      <w:r w:rsidR="00C13319">
        <w:t xml:space="preserve">higher than Method #1. </w:t>
      </w:r>
    </w:p>
    <w:p w:rsidR="00BF5A17" w:rsidRDefault="00BF5A17" w:rsidP="00B765B4">
      <w:pPr>
        <w:spacing w:after="0" w:line="240" w:lineRule="auto"/>
      </w:pPr>
    </w:p>
    <w:p w:rsidR="00BF5A17" w:rsidRDefault="00BF5A17" w:rsidP="00B765B4">
      <w:pPr>
        <w:spacing w:after="0" w:line="240" w:lineRule="auto"/>
      </w:pPr>
      <w:r>
        <w:t>A literature search showed that the motor research method commonly gives octane readings 8 to 9 units higher than the motor method</w:t>
      </w:r>
      <w:r>
        <w:t xml:space="preserve">. Further research showed </w:t>
      </w:r>
      <w:r>
        <w:t>that</w:t>
      </w:r>
      <w:r>
        <w:t xml:space="preserve"> most industrial companies average</w:t>
      </w:r>
      <w:r>
        <w:t xml:space="preserve"> the two readings</w:t>
      </w:r>
      <w:r>
        <w:t xml:space="preserve"> and </w:t>
      </w:r>
      <w:proofErr w:type="gramStart"/>
      <w:r>
        <w:t>then  post</w:t>
      </w:r>
      <w:proofErr w:type="gramEnd"/>
      <w:r>
        <w:t xml:space="preserve"> a notice saying that the octane is the average of the two methods, such as:</w:t>
      </w:r>
    </w:p>
    <w:p w:rsidR="00BF5A17" w:rsidRDefault="00BF5A17" w:rsidP="00BF5A17">
      <w:pPr>
        <w:tabs>
          <w:tab w:val="center" w:pos="4680"/>
          <w:tab w:val="right" w:pos="9270"/>
        </w:tabs>
        <w:spacing w:after="0" w:line="240" w:lineRule="auto"/>
      </w:pPr>
      <w:r>
        <w:tab/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 xml:space="preserve">ctane 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ating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R+M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ab/>
        <w:t>(2)</w:t>
      </w:r>
    </w:p>
    <w:p w:rsidR="0065559A" w:rsidRDefault="0065559A" w:rsidP="00B765B4">
      <w:pPr>
        <w:spacing w:after="0" w:line="240" w:lineRule="auto"/>
      </w:pPr>
    </w:p>
    <w:p w:rsidR="003C3AE0" w:rsidRDefault="003C3AE0" w:rsidP="00B765B4">
      <w:pPr>
        <w:spacing w:after="0" w:line="240" w:lineRule="auto"/>
      </w:pPr>
      <w:r>
        <w:t xml:space="preserve">Therefore, the differences between the two ratings observed in Figure </w:t>
      </w:r>
      <w:r w:rsidR="009E2712">
        <w:t>2</w:t>
      </w:r>
      <w:r>
        <w:t xml:space="preserve"> agree with findings in the literature.</w:t>
      </w:r>
    </w:p>
    <w:p w:rsidR="003C3AE0" w:rsidRDefault="003C3AE0" w:rsidP="00B765B4">
      <w:pPr>
        <w:spacing w:after="0" w:line="240" w:lineRule="auto"/>
        <w:rPr>
          <w:b/>
        </w:rPr>
      </w:pPr>
    </w:p>
    <w:p w:rsidR="0065559A" w:rsidRDefault="0065559A" w:rsidP="00B765B4">
      <w:pPr>
        <w:spacing w:after="0" w:line="240" w:lineRule="auto"/>
      </w:pPr>
      <w:r>
        <w:rPr>
          <w:b/>
        </w:rPr>
        <w:t>Conclusions/Recommendations</w:t>
      </w:r>
    </w:p>
    <w:p w:rsidR="00BA5F50" w:rsidRPr="00BA5F50" w:rsidRDefault="00654861" w:rsidP="00432CAA">
      <w:pPr>
        <w:spacing w:after="0" w:line="240" w:lineRule="auto"/>
      </w:pPr>
      <w:r>
        <w:t>The data indicate</w:t>
      </w:r>
      <w:r w:rsidR="0065559A">
        <w:t xml:space="preserve"> that the </w:t>
      </w:r>
      <w:r w:rsidR="0025536C">
        <w:t xml:space="preserve">two methods currently used in the plant to calculate the octane rating of gasoline blends do </w:t>
      </w:r>
      <w:r w:rsidR="0025536C" w:rsidRPr="0026394A">
        <w:rPr>
          <w:u w:val="single"/>
        </w:rPr>
        <w:t>not</w:t>
      </w:r>
      <w:r w:rsidR="0025536C">
        <w:t xml:space="preserve"> produce similar results.  The motor research method (Method #1) yields octane readings that are between 6.0 and 8.2 units higher than the motor method (Method #2).  </w:t>
      </w:r>
      <w:r w:rsidR="0026394A">
        <w:t>Since</w:t>
      </w:r>
      <w:r w:rsidR="0025536C">
        <w:t xml:space="preserve"> the </w:t>
      </w:r>
      <w:r w:rsidR="00075392">
        <w:t xml:space="preserve">proposed control system requires consistent measurements of octane rating, selecting one method to use throughout the plant is </w:t>
      </w:r>
      <w:r w:rsidR="00BF5A17">
        <w:t>desirable</w:t>
      </w:r>
      <w:r w:rsidR="00075392">
        <w:t xml:space="preserve">.  </w:t>
      </w:r>
      <w:r w:rsidR="0026394A">
        <w:t>T</w:t>
      </w:r>
      <w:r w:rsidR="00075392">
        <w:t>his study did not address the accuracy of each method, nor other factors such as the cost, reliability, or equipment issues</w:t>
      </w:r>
      <w:r w:rsidR="0026394A">
        <w:t>.</w:t>
      </w:r>
      <w:r w:rsidR="00075392">
        <w:t xml:space="preserve"> </w:t>
      </w:r>
      <w:r w:rsidR="000E7DFD">
        <w:t>A literature search showed that the motor research method commonly gives octane readings 8 to 9 units higher than the motor method, and that industry averages the two readings. It is therefore recommended</w:t>
      </w:r>
      <w:r w:rsidR="00941AC8">
        <w:t xml:space="preserve"> </w:t>
      </w:r>
      <w:r w:rsidR="000E7DFD">
        <w:t xml:space="preserve">that both tests be performed on each sample and that the average of the two readings </w:t>
      </w:r>
      <w:r w:rsidR="00941AC8">
        <w:t>should be reported.</w:t>
      </w:r>
    </w:p>
    <w:sectPr w:rsidR="00BA5F50" w:rsidRPr="00BA5F50">
      <w:headerReference w:type="default" r:id="rId10"/>
      <w:footerReference w:type="default" r:id="rId11"/>
      <w:footnotePr>
        <w:numFmt w:val="chicago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34" w:rsidRDefault="00AF4F34" w:rsidP="008769BA">
      <w:pPr>
        <w:spacing w:after="0" w:line="240" w:lineRule="auto"/>
      </w:pPr>
      <w:r>
        <w:separator/>
      </w:r>
    </w:p>
  </w:endnote>
  <w:endnote w:type="continuationSeparator" w:id="0">
    <w:p w:rsidR="00AF4F34" w:rsidRDefault="00AF4F34" w:rsidP="008769BA">
      <w:pPr>
        <w:spacing w:after="0" w:line="240" w:lineRule="auto"/>
      </w:pPr>
      <w:r>
        <w:continuationSeparator/>
      </w:r>
    </w:p>
  </w:endnote>
  <w:endnote w:id="1">
    <w:p w:rsidR="00BA0837" w:rsidRDefault="00BA0837">
      <w:pPr>
        <w:pStyle w:val="EndnoteText"/>
      </w:pPr>
      <w:r>
        <w:rPr>
          <w:rStyle w:val="EndnoteReference"/>
        </w:rPr>
        <w:endnoteRef/>
      </w:r>
      <w:r>
        <w:t xml:space="preserve"> R. D. </w:t>
      </w:r>
      <w:proofErr w:type="spellStart"/>
      <w:r>
        <w:t>Snee</w:t>
      </w:r>
      <w:proofErr w:type="spellEnd"/>
      <w:r>
        <w:t xml:space="preserve">, Developing blending models for gasoline and other mixtures, </w:t>
      </w:r>
      <w:proofErr w:type="spellStart"/>
      <w:r>
        <w:rPr>
          <w:i/>
        </w:rPr>
        <w:t>Technometrics</w:t>
      </w:r>
      <w:proofErr w:type="spellEnd"/>
      <w:r>
        <w:t xml:space="preserve">, </w:t>
      </w:r>
      <w:r>
        <w:rPr>
          <w:b/>
        </w:rPr>
        <w:t>23</w:t>
      </w:r>
      <w:r>
        <w:t>, 119-130 (1981).</w:t>
      </w:r>
    </w:p>
  </w:endnote>
  <w:endnote w:id="2">
    <w:p w:rsidR="00BA0837" w:rsidRPr="00422974" w:rsidRDefault="00BA0837" w:rsidP="00BA0837">
      <w:pPr>
        <w:pStyle w:val="Footer"/>
        <w:rPr>
          <w:color w:val="808080" w:themeColor="background1" w:themeShade="80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BA0837">
        <w:rPr>
          <w:color w:val="000000" w:themeColor="text1"/>
          <w:sz w:val="20"/>
          <w:szCs w:val="20"/>
        </w:rPr>
        <w:t xml:space="preserve">This report was prepared for pedagogical purposes.  The data and data analysis were taken from an example in Chapter 4 of </w:t>
      </w:r>
      <w:r w:rsidRPr="00BA0837">
        <w:rPr>
          <w:i/>
          <w:color w:val="000000" w:themeColor="text1"/>
          <w:sz w:val="20"/>
          <w:szCs w:val="20"/>
        </w:rPr>
        <w:t>Statistical Methods for Engineers</w:t>
      </w:r>
      <w:r w:rsidRPr="00BA0837">
        <w:rPr>
          <w:color w:val="000000" w:themeColor="text1"/>
          <w:sz w:val="20"/>
          <w:szCs w:val="20"/>
        </w:rPr>
        <w:t xml:space="preserve"> by G. Geoffrey Vining.</w:t>
      </w:r>
    </w:p>
    <w:p w:rsidR="00BA0837" w:rsidRDefault="00BA083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289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7DFD" w:rsidRDefault="000E7D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9BA" w:rsidRDefault="00876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34" w:rsidRDefault="00AF4F34" w:rsidP="008769BA">
      <w:pPr>
        <w:spacing w:after="0" w:line="240" w:lineRule="auto"/>
      </w:pPr>
      <w:r>
        <w:separator/>
      </w:r>
    </w:p>
  </w:footnote>
  <w:footnote w:type="continuationSeparator" w:id="0">
    <w:p w:rsidR="00AF4F34" w:rsidRDefault="00AF4F34" w:rsidP="008769BA">
      <w:pPr>
        <w:spacing w:after="0" w:line="240" w:lineRule="auto"/>
      </w:pPr>
      <w:r>
        <w:continuationSeparator/>
      </w:r>
    </w:p>
  </w:footnote>
  <w:footnote w:id="1">
    <w:p w:rsidR="003C3AE0" w:rsidRDefault="003C3AE0">
      <w:pPr>
        <w:pStyle w:val="FootnoteText"/>
      </w:pPr>
      <w:r>
        <w:rPr>
          <w:rStyle w:val="FootnoteReference"/>
        </w:rPr>
        <w:footnoteRef/>
      </w:r>
      <w:r>
        <w:t xml:space="preserve"> This is a sample report for the UO Lab and illustrates types of sections needed for a complete report. The data and conclusions are not necessarily real.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F4" w:rsidRDefault="002454F4">
    <w:pPr>
      <w:pStyle w:val="Header"/>
    </w:pPr>
    <w:r>
      <w:t>Fall 201</w:t>
    </w:r>
    <w:r w:rsidR="00913CFA">
      <w:t>3</w:t>
    </w:r>
    <w:r>
      <w:ptab w:relativeTo="margin" w:alignment="center" w:leader="none"/>
    </w:r>
    <w:proofErr w:type="spellStart"/>
    <w:r>
      <w:t>ChEn</w:t>
    </w:r>
    <w:proofErr w:type="spellEnd"/>
    <w:r>
      <w:t xml:space="preserve"> 475</w:t>
    </w:r>
    <w:r>
      <w:ptab w:relativeTo="margin" w:alignment="right" w:leader="none"/>
    </w:r>
    <w:r>
      <w:t xml:space="preserve">Sample </w:t>
    </w:r>
    <w:r w:rsidR="003B75DC">
      <w:t>Complete</w:t>
    </w:r>
    <w:r>
      <w:t xml:space="preserve">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AA"/>
    <w:rsid w:val="000669A7"/>
    <w:rsid w:val="00075392"/>
    <w:rsid w:val="00076C56"/>
    <w:rsid w:val="000A7DAC"/>
    <w:rsid w:val="000B3580"/>
    <w:rsid w:val="000C0A59"/>
    <w:rsid w:val="000C5164"/>
    <w:rsid w:val="000E7DFD"/>
    <w:rsid w:val="000F68FA"/>
    <w:rsid w:val="001A04C4"/>
    <w:rsid w:val="001E0313"/>
    <w:rsid w:val="001E24DF"/>
    <w:rsid w:val="002454F4"/>
    <w:rsid w:val="0025536C"/>
    <w:rsid w:val="0026394A"/>
    <w:rsid w:val="002726A5"/>
    <w:rsid w:val="00276479"/>
    <w:rsid w:val="002B25EB"/>
    <w:rsid w:val="002D1265"/>
    <w:rsid w:val="00376342"/>
    <w:rsid w:val="003B6467"/>
    <w:rsid w:val="003B75DC"/>
    <w:rsid w:val="003C3AE0"/>
    <w:rsid w:val="00422974"/>
    <w:rsid w:val="00423929"/>
    <w:rsid w:val="00432CAA"/>
    <w:rsid w:val="004360D5"/>
    <w:rsid w:val="004438C9"/>
    <w:rsid w:val="00445378"/>
    <w:rsid w:val="00466F61"/>
    <w:rsid w:val="005F11FC"/>
    <w:rsid w:val="006061EF"/>
    <w:rsid w:val="00623265"/>
    <w:rsid w:val="00654861"/>
    <w:rsid w:val="0065559A"/>
    <w:rsid w:val="00682C34"/>
    <w:rsid w:val="00696893"/>
    <w:rsid w:val="006B10C0"/>
    <w:rsid w:val="006E191E"/>
    <w:rsid w:val="006E6FAD"/>
    <w:rsid w:val="007B1844"/>
    <w:rsid w:val="00846500"/>
    <w:rsid w:val="008769BA"/>
    <w:rsid w:val="008A6480"/>
    <w:rsid w:val="008A68A1"/>
    <w:rsid w:val="00913CFA"/>
    <w:rsid w:val="0092590F"/>
    <w:rsid w:val="00941AC8"/>
    <w:rsid w:val="009E2712"/>
    <w:rsid w:val="00A17EF6"/>
    <w:rsid w:val="00A23C25"/>
    <w:rsid w:val="00A81815"/>
    <w:rsid w:val="00AA6A72"/>
    <w:rsid w:val="00AF4F34"/>
    <w:rsid w:val="00B765B4"/>
    <w:rsid w:val="00BA0837"/>
    <w:rsid w:val="00BA5F50"/>
    <w:rsid w:val="00BD3972"/>
    <w:rsid w:val="00BF5A17"/>
    <w:rsid w:val="00C04B17"/>
    <w:rsid w:val="00C13319"/>
    <w:rsid w:val="00CD56FA"/>
    <w:rsid w:val="00D176CD"/>
    <w:rsid w:val="00DB6428"/>
    <w:rsid w:val="00DB6FDD"/>
    <w:rsid w:val="00E20F09"/>
    <w:rsid w:val="00E92750"/>
    <w:rsid w:val="00ED4051"/>
    <w:rsid w:val="00F11D75"/>
    <w:rsid w:val="00FE709F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1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6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04B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A"/>
  </w:style>
  <w:style w:type="paragraph" w:styleId="Footer">
    <w:name w:val="footer"/>
    <w:basedOn w:val="Normal"/>
    <w:link w:val="FooterChar"/>
    <w:uiPriority w:val="99"/>
    <w:unhideWhenUsed/>
    <w:rsid w:val="0087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A"/>
  </w:style>
  <w:style w:type="paragraph" w:styleId="FootnoteText">
    <w:name w:val="footnote text"/>
    <w:basedOn w:val="Normal"/>
    <w:link w:val="FootnoteTextChar"/>
    <w:uiPriority w:val="99"/>
    <w:semiHidden/>
    <w:unhideWhenUsed/>
    <w:rsid w:val="004229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9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9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08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08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08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1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6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04B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A"/>
  </w:style>
  <w:style w:type="paragraph" w:styleId="Footer">
    <w:name w:val="footer"/>
    <w:basedOn w:val="Normal"/>
    <w:link w:val="FooterChar"/>
    <w:uiPriority w:val="99"/>
    <w:unhideWhenUsed/>
    <w:rsid w:val="0087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A"/>
  </w:style>
  <w:style w:type="paragraph" w:styleId="FootnoteText">
    <w:name w:val="footnote text"/>
    <w:basedOn w:val="Normal"/>
    <w:link w:val="FootnoteTextChar"/>
    <w:uiPriority w:val="99"/>
    <w:semiHidden/>
    <w:unhideWhenUsed/>
    <w:rsid w:val="004229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9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9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08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08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0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k6\Documents\1%20Classes\ChE475\Fall11\Memo%20Report%20Example\data-for-memo-report-examp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1"/>
          <c:order val="1"/>
          <c:marker>
            <c:symbol val="none"/>
          </c:marker>
          <c:xVal>
            <c:numRef>
              <c:f>Sheet1!$G$3:$H$3</c:f>
              <c:numCache>
                <c:formatCode>General</c:formatCode>
                <c:ptCount val="2"/>
                <c:pt idx="0">
                  <c:v>78</c:v>
                </c:pt>
                <c:pt idx="1">
                  <c:v>115</c:v>
                </c:pt>
              </c:numCache>
            </c:numRef>
          </c:xVal>
          <c:yVal>
            <c:numRef>
              <c:f>Sheet1!$G$4:$H$4</c:f>
              <c:numCache>
                <c:formatCode>General</c:formatCode>
                <c:ptCount val="2"/>
                <c:pt idx="0">
                  <c:v>78</c:v>
                </c:pt>
                <c:pt idx="1">
                  <c:v>115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625408"/>
        <c:axId val="56625984"/>
      </c:scatterChar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Sheet1!$B$3:$B$34</c:f>
              <c:numCache>
                <c:formatCode>General</c:formatCode>
                <c:ptCount val="32"/>
                <c:pt idx="0">
                  <c:v>81.400000000000006</c:v>
                </c:pt>
                <c:pt idx="1">
                  <c:v>82.2</c:v>
                </c:pt>
                <c:pt idx="2">
                  <c:v>83.1</c:v>
                </c:pt>
                <c:pt idx="3">
                  <c:v>83.8</c:v>
                </c:pt>
                <c:pt idx="4">
                  <c:v>84</c:v>
                </c:pt>
                <c:pt idx="5">
                  <c:v>84.7</c:v>
                </c:pt>
                <c:pt idx="6">
                  <c:v>84.8</c:v>
                </c:pt>
                <c:pt idx="7">
                  <c:v>85</c:v>
                </c:pt>
                <c:pt idx="8">
                  <c:v>85.9</c:v>
                </c:pt>
                <c:pt idx="9">
                  <c:v>86.2</c:v>
                </c:pt>
                <c:pt idx="10">
                  <c:v>86.5</c:v>
                </c:pt>
                <c:pt idx="11">
                  <c:v>86.8</c:v>
                </c:pt>
                <c:pt idx="12">
                  <c:v>87.4</c:v>
                </c:pt>
                <c:pt idx="13">
                  <c:v>87.7</c:v>
                </c:pt>
                <c:pt idx="14">
                  <c:v>87.7</c:v>
                </c:pt>
                <c:pt idx="15">
                  <c:v>87.9</c:v>
                </c:pt>
                <c:pt idx="16">
                  <c:v>88.1</c:v>
                </c:pt>
                <c:pt idx="17">
                  <c:v>89.3</c:v>
                </c:pt>
                <c:pt idx="18">
                  <c:v>90</c:v>
                </c:pt>
                <c:pt idx="19">
                  <c:v>90.2</c:v>
                </c:pt>
                <c:pt idx="20">
                  <c:v>90.2</c:v>
                </c:pt>
                <c:pt idx="21">
                  <c:v>90.7</c:v>
                </c:pt>
                <c:pt idx="22">
                  <c:v>91.3</c:v>
                </c:pt>
                <c:pt idx="23">
                  <c:v>91.4</c:v>
                </c:pt>
                <c:pt idx="24">
                  <c:v>91.4</c:v>
                </c:pt>
                <c:pt idx="25">
                  <c:v>91.7</c:v>
                </c:pt>
                <c:pt idx="26">
                  <c:v>92.4</c:v>
                </c:pt>
                <c:pt idx="27">
                  <c:v>93.7</c:v>
                </c:pt>
                <c:pt idx="28">
                  <c:v>94.7</c:v>
                </c:pt>
                <c:pt idx="29">
                  <c:v>98</c:v>
                </c:pt>
                <c:pt idx="30">
                  <c:v>105</c:v>
                </c:pt>
                <c:pt idx="31">
                  <c:v>105.5</c:v>
                </c:pt>
              </c:numCache>
            </c:numRef>
          </c:xVal>
          <c:yVal>
            <c:numRef>
              <c:f>Sheet1!$C$3:$C$34</c:f>
              <c:numCache>
                <c:formatCode>General</c:formatCode>
                <c:ptCount val="32"/>
                <c:pt idx="0">
                  <c:v>83.3</c:v>
                </c:pt>
                <c:pt idx="1">
                  <c:v>93.5</c:v>
                </c:pt>
                <c:pt idx="2">
                  <c:v>89.2</c:v>
                </c:pt>
                <c:pt idx="3">
                  <c:v>85.9</c:v>
                </c:pt>
                <c:pt idx="4">
                  <c:v>94.7</c:v>
                </c:pt>
                <c:pt idx="5">
                  <c:v>88.8</c:v>
                </c:pt>
                <c:pt idx="6">
                  <c:v>95.3</c:v>
                </c:pt>
                <c:pt idx="7">
                  <c:v>92.8</c:v>
                </c:pt>
                <c:pt idx="8">
                  <c:v>97</c:v>
                </c:pt>
                <c:pt idx="9">
                  <c:v>93.6</c:v>
                </c:pt>
                <c:pt idx="10">
                  <c:v>92.3</c:v>
                </c:pt>
                <c:pt idx="11">
                  <c:v>96.5</c:v>
                </c:pt>
                <c:pt idx="12">
                  <c:v>97.5</c:v>
                </c:pt>
                <c:pt idx="13">
                  <c:v>97.4</c:v>
                </c:pt>
                <c:pt idx="14">
                  <c:v>93.9</c:v>
                </c:pt>
                <c:pt idx="15">
                  <c:v>95.7</c:v>
                </c:pt>
                <c:pt idx="16">
                  <c:v>99.7</c:v>
                </c:pt>
                <c:pt idx="17">
                  <c:v>100.2</c:v>
                </c:pt>
                <c:pt idx="18">
                  <c:v>99.1</c:v>
                </c:pt>
                <c:pt idx="19">
                  <c:v>98.6</c:v>
                </c:pt>
                <c:pt idx="20">
                  <c:v>99.5</c:v>
                </c:pt>
                <c:pt idx="21">
                  <c:v>98.4</c:v>
                </c:pt>
                <c:pt idx="22">
                  <c:v>97.4</c:v>
                </c:pt>
                <c:pt idx="23">
                  <c:v>99.4</c:v>
                </c:pt>
                <c:pt idx="24">
                  <c:v>94.1</c:v>
                </c:pt>
                <c:pt idx="25">
                  <c:v>96.3</c:v>
                </c:pt>
                <c:pt idx="26">
                  <c:v>99.8</c:v>
                </c:pt>
                <c:pt idx="27">
                  <c:v>101.3</c:v>
                </c:pt>
                <c:pt idx="28">
                  <c:v>103.1</c:v>
                </c:pt>
                <c:pt idx="29">
                  <c:v>101.9</c:v>
                </c:pt>
                <c:pt idx="30">
                  <c:v>106.6</c:v>
                </c:pt>
                <c:pt idx="31">
                  <c:v>106.2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625408"/>
        <c:axId val="56625984"/>
      </c:scatterChart>
      <c:valAx>
        <c:axId val="56625408"/>
        <c:scaling>
          <c:orientation val="minMax"/>
          <c:max val="110"/>
          <c:min val="78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Method #1 Octane</a:t>
                </a:r>
                <a:r>
                  <a:rPr lang="en-US" baseline="0"/>
                  <a:t> Rating</a:t>
                </a:r>
                <a:endParaRPr lang="en-US"/>
              </a:p>
            </c:rich>
          </c:tx>
          <c:overlay val="0"/>
        </c:title>
        <c:numFmt formatCode="General" sourceLinked="1"/>
        <c:majorTickMark val="in"/>
        <c:minorTickMark val="none"/>
        <c:tickLblPos val="nextTo"/>
        <c:crossAx val="56625984"/>
        <c:crosses val="autoZero"/>
        <c:crossBetween val="midCat"/>
      </c:valAx>
      <c:valAx>
        <c:axId val="56625984"/>
        <c:scaling>
          <c:orientation val="minMax"/>
          <c:max val="110"/>
          <c:min val="78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Method #2 Octane</a:t>
                </a:r>
                <a:r>
                  <a:rPr lang="en-US" baseline="0"/>
                  <a:t> Rating</a:t>
                </a:r>
                <a:endParaRPr lang="en-US"/>
              </a:p>
            </c:rich>
          </c:tx>
          <c:overlay val="0"/>
        </c:title>
        <c:numFmt formatCode="General" sourceLinked="1"/>
        <c:majorTickMark val="in"/>
        <c:minorTickMark val="none"/>
        <c:tickLblPos val="nextTo"/>
        <c:crossAx val="56625408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1B"/>
    <w:rsid w:val="00050F1B"/>
    <w:rsid w:val="007C733B"/>
    <w:rsid w:val="00C65F1D"/>
    <w:rsid w:val="00D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53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5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5D89-E7EC-48CE-B0AB-B1EA2A36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Knotts</dc:creator>
  <cp:lastModifiedBy>Tom Fletcher</cp:lastModifiedBy>
  <cp:revision>5</cp:revision>
  <cp:lastPrinted>2011-08-30T13:44:00Z</cp:lastPrinted>
  <dcterms:created xsi:type="dcterms:W3CDTF">2013-09-30T22:08:00Z</dcterms:created>
  <dcterms:modified xsi:type="dcterms:W3CDTF">2013-10-01T14:09:00Z</dcterms:modified>
</cp:coreProperties>
</file>