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1E" w:rsidRDefault="00432CAA" w:rsidP="00E92750">
      <w:pPr>
        <w:spacing w:after="0" w:line="240" w:lineRule="auto"/>
        <w:ind w:left="810" w:hanging="810"/>
      </w:pPr>
      <w:r>
        <w:t xml:space="preserve">To: </w:t>
      </w:r>
      <w:r w:rsidR="00E92750">
        <w:tab/>
      </w:r>
      <w:r w:rsidR="002726A5">
        <w:t xml:space="preserve">Dr. </w:t>
      </w:r>
      <w:r w:rsidR="00913CFA">
        <w:t>Fletcher</w:t>
      </w:r>
    </w:p>
    <w:p w:rsidR="00432CAA" w:rsidRDefault="00432CAA" w:rsidP="00E92750">
      <w:pPr>
        <w:spacing w:after="0" w:line="240" w:lineRule="auto"/>
        <w:ind w:left="810" w:hanging="810"/>
      </w:pPr>
      <w:r>
        <w:t xml:space="preserve">From: </w:t>
      </w:r>
      <w:r w:rsidR="00E92750">
        <w:tab/>
      </w:r>
      <w:r w:rsidR="00913CFA">
        <w:t xml:space="preserve">Joe Young, Bill Smith, </w:t>
      </w:r>
      <w:proofErr w:type="gramStart"/>
      <w:r w:rsidR="00913CFA">
        <w:t>Cindy</w:t>
      </w:r>
      <w:proofErr w:type="gramEnd"/>
      <w:r w:rsidR="00913CFA">
        <w:t xml:space="preserve"> Lopez</w:t>
      </w:r>
    </w:p>
    <w:p w:rsidR="00432CAA" w:rsidRDefault="00432CAA" w:rsidP="00E92750">
      <w:pPr>
        <w:spacing w:after="0" w:line="240" w:lineRule="auto"/>
        <w:ind w:left="810" w:hanging="810"/>
      </w:pPr>
      <w:r>
        <w:t>Date:</w:t>
      </w:r>
      <w:r w:rsidR="002726A5">
        <w:t xml:space="preserve"> </w:t>
      </w:r>
      <w:r w:rsidR="00E92750">
        <w:tab/>
      </w:r>
      <w:r w:rsidR="00913CFA">
        <w:t>September 30, 2013</w:t>
      </w:r>
    </w:p>
    <w:p w:rsidR="00432CAA" w:rsidRDefault="00432CAA" w:rsidP="00E92750">
      <w:pPr>
        <w:spacing w:after="0" w:line="240" w:lineRule="auto"/>
        <w:ind w:left="810" w:hanging="810"/>
      </w:pPr>
      <w:r>
        <w:t>Subject:</w:t>
      </w:r>
      <w:r w:rsidR="00913CFA">
        <w:tab/>
      </w:r>
      <w:r w:rsidR="002726A5">
        <w:t>Octane Rating Methods</w:t>
      </w:r>
      <w:r w:rsidR="006379CC">
        <w:rPr>
          <w:rStyle w:val="FootnoteReference"/>
        </w:rPr>
        <w:footnoteReference w:id="1"/>
      </w:r>
    </w:p>
    <w:p w:rsidR="00432CAA" w:rsidRDefault="00432CAA" w:rsidP="00432CAA">
      <w:pPr>
        <w:spacing w:after="0" w:line="240" w:lineRule="auto"/>
      </w:pPr>
    </w:p>
    <w:p w:rsidR="00432CAA" w:rsidRDefault="00432CAA" w:rsidP="00432CAA">
      <w:pPr>
        <w:spacing w:after="0" w:line="240" w:lineRule="auto"/>
      </w:pPr>
      <w:r>
        <w:rPr>
          <w:b/>
        </w:rPr>
        <w:t>Objective</w:t>
      </w:r>
    </w:p>
    <w:p w:rsidR="00432CAA" w:rsidRDefault="00432CAA" w:rsidP="00432CAA">
      <w:pPr>
        <w:spacing w:after="0" w:line="240" w:lineRule="auto"/>
      </w:pPr>
      <w:r>
        <w:t>Two methods</w:t>
      </w:r>
      <w:r w:rsidR="00BA0837">
        <w:rPr>
          <w:rStyle w:val="EndnoteReference"/>
        </w:rPr>
        <w:endnoteReference w:id="1"/>
      </w:r>
      <w:r>
        <w:t xml:space="preserve"> for determining the octane ratings of blends of gasoline</w:t>
      </w:r>
      <w:r w:rsidR="00913CFA">
        <w:t xml:space="preserve"> are found in the standard operating procedures for the plant: (1)</w:t>
      </w:r>
      <w:r w:rsidR="003B6467">
        <w:t xml:space="preserve"> </w:t>
      </w:r>
      <w:r w:rsidR="00913CFA">
        <w:t xml:space="preserve">the </w:t>
      </w:r>
      <w:r w:rsidR="003B6467">
        <w:t>motor</w:t>
      </w:r>
      <w:r w:rsidR="008A68A1">
        <w:t xml:space="preserve"> </w:t>
      </w:r>
      <w:r w:rsidR="00913CFA">
        <w:t>method</w:t>
      </w:r>
      <w:r w:rsidR="003B6467">
        <w:t xml:space="preserve"> and </w:t>
      </w:r>
      <w:r w:rsidR="00913CFA">
        <w:t xml:space="preserve">(2) the </w:t>
      </w:r>
      <w:r w:rsidR="003B6467">
        <w:t>research</w:t>
      </w:r>
      <w:r w:rsidR="008A68A1">
        <w:t xml:space="preserve"> </w:t>
      </w:r>
      <w:r w:rsidR="00913CFA">
        <w:t>method</w:t>
      </w:r>
      <w:r w:rsidR="003B6467">
        <w:t xml:space="preserve">.  Proposed improvements in the control </w:t>
      </w:r>
      <w:r w:rsidR="00AA6A72">
        <w:t xml:space="preserve">system </w:t>
      </w:r>
      <w:r w:rsidR="003B6467">
        <w:t xml:space="preserve">of the reforming and isomerization units require highly </w:t>
      </w:r>
      <w:r w:rsidR="00AA6A72">
        <w:t>consistent</w:t>
      </w:r>
      <w:r w:rsidR="003B6467">
        <w:t xml:space="preserve"> measurements of octane ratings</w:t>
      </w:r>
      <w:r w:rsidR="00AA6A72">
        <w:t>. T</w:t>
      </w:r>
      <w:r w:rsidR="003B6467">
        <w:t xml:space="preserve">his memo outlines experiments </w:t>
      </w:r>
      <w:r w:rsidR="00A452FD">
        <w:t xml:space="preserve">that we </w:t>
      </w:r>
      <w:r w:rsidR="00913CFA">
        <w:t>performed</w:t>
      </w:r>
      <w:r w:rsidR="003B6467">
        <w:t xml:space="preserve"> to assess the agreement between the two methods.</w:t>
      </w:r>
      <w:r w:rsidR="00A23C25">
        <w:t xml:space="preserve"> </w:t>
      </w:r>
    </w:p>
    <w:p w:rsidR="003B6467" w:rsidRDefault="003B6467" w:rsidP="00432CAA">
      <w:pPr>
        <w:spacing w:after="0" w:line="240" w:lineRule="auto"/>
      </w:pPr>
    </w:p>
    <w:p w:rsidR="003B6467" w:rsidRDefault="003B6467" w:rsidP="00432CAA">
      <w:pPr>
        <w:spacing w:after="0" w:line="240" w:lineRule="auto"/>
        <w:rPr>
          <w:b/>
        </w:rPr>
      </w:pPr>
      <w:r>
        <w:rPr>
          <w:b/>
        </w:rPr>
        <w:t>Procedure</w:t>
      </w:r>
    </w:p>
    <w:p w:rsidR="000C5164" w:rsidRDefault="00A452FD" w:rsidP="00432CAA">
      <w:pPr>
        <w:spacing w:after="0" w:line="240" w:lineRule="auto"/>
      </w:pPr>
      <w:r>
        <w:t>We created t</w:t>
      </w:r>
      <w:r w:rsidR="00DB6428">
        <w:t xml:space="preserve">hirty-two </w:t>
      </w:r>
      <w:r w:rsidR="008A68A1">
        <w:t>blends of gasoline</w:t>
      </w:r>
      <w:r w:rsidR="000C5164">
        <w:t xml:space="preserve"> (</w:t>
      </w:r>
      <m:oMath>
        <m:r>
          <w:rPr>
            <w:rFonts w:ascii="Cambria Math" w:hAnsi="Cambria Math" w:cstheme="minorHAnsi"/>
          </w:rPr>
          <m:t>n</m:t>
        </m:r>
      </m:oMath>
      <w:r w:rsidR="00BD3972">
        <w:rPr>
          <w:rFonts w:eastAsiaTheme="minorEastAsia"/>
        </w:rPr>
        <w:t xml:space="preserve"> = 32</w:t>
      </w:r>
      <w:r w:rsidR="000C5164">
        <w:t>)</w:t>
      </w:r>
      <w:r w:rsidR="008A68A1">
        <w:t xml:space="preserve"> </w:t>
      </w:r>
      <w:r w:rsidR="00DB6428">
        <w:t xml:space="preserve">by combining 2 gallons </w:t>
      </w:r>
      <w:r w:rsidR="008A68A1">
        <w:t xml:space="preserve">of </w:t>
      </w:r>
      <w:r w:rsidR="00DB6428">
        <w:t>normal pentane (62 octane) with varying amounts of tolu</w:t>
      </w:r>
      <w:r w:rsidR="008A68A1">
        <w:t>e</w:t>
      </w:r>
      <w:r w:rsidR="00DB6428">
        <w:t>ne (120 octane)</w:t>
      </w:r>
      <w:r w:rsidR="008A68A1">
        <w:t xml:space="preserve"> to create test samples with octanes in the range 80 – 110. After thorough mixing, each blend was separated into two samples of equal volume</w:t>
      </w:r>
      <w:r w:rsidR="000C5164">
        <w:t xml:space="preserve">.  </w:t>
      </w:r>
      <w:r>
        <w:t>We measured t</w:t>
      </w:r>
      <w:r w:rsidR="000C5164">
        <w:t>he octane of one</w:t>
      </w:r>
      <w:r w:rsidR="008A68A1">
        <w:t xml:space="preserve"> sample using Method #1 and the other </w:t>
      </w:r>
      <w:r>
        <w:t xml:space="preserve">sample </w:t>
      </w:r>
      <w:r w:rsidR="008A68A1">
        <w:t xml:space="preserve">using Method #2. </w:t>
      </w:r>
    </w:p>
    <w:p w:rsidR="000C5164" w:rsidRDefault="000C5164" w:rsidP="00432CAA">
      <w:pPr>
        <w:spacing w:after="0" w:line="240" w:lineRule="auto"/>
      </w:pPr>
    </w:p>
    <w:p w:rsidR="003B6467" w:rsidRDefault="008A68A1" w:rsidP="00432CAA">
      <w:pPr>
        <w:spacing w:after="0" w:line="240" w:lineRule="auto"/>
        <w:rPr>
          <w:rFonts w:eastAsiaTheme="minorEastAsia"/>
        </w:rPr>
      </w:pPr>
      <w:r>
        <w:t xml:space="preserve">To determine if the two methods give the </w:t>
      </w:r>
      <w:r w:rsidR="000C5164">
        <w:t xml:space="preserve">same octane rating given the same gasoline blend, </w:t>
      </w:r>
      <w:r w:rsidR="00A452FD">
        <w:t xml:space="preserve">we analyzed </w:t>
      </w:r>
      <w:r w:rsidR="000C5164">
        <w:t xml:space="preserve">the results using a paired </w:t>
      </w:r>
      <w:r w:rsidR="000C5164">
        <w:rPr>
          <w:i/>
        </w:rPr>
        <w:t>t</w:t>
      </w:r>
      <w:r w:rsidR="000C5164">
        <w:rPr>
          <w:i/>
        </w:rPr>
        <w:softHyphen/>
      </w:r>
      <w:r w:rsidR="000C5164">
        <w:t>-test.</w:t>
      </w:r>
      <w:r w:rsidR="00BA0837">
        <w:rPr>
          <w:rStyle w:val="EndnoteReference"/>
        </w:rPr>
        <w:endnoteReference w:id="2"/>
      </w:r>
      <w:r w:rsidR="000C5164">
        <w:t xml:space="preserve">   This </w:t>
      </w:r>
      <w:r w:rsidR="00913CFA">
        <w:t xml:space="preserve">test </w:t>
      </w:r>
      <w:r w:rsidR="000C5164">
        <w:t xml:space="preserve">was </w:t>
      </w:r>
      <w:r w:rsidR="00913CFA">
        <w:t>performed</w:t>
      </w:r>
      <w:r w:rsidR="000C5164">
        <w:t xml:space="preserve"> by defining the </w:t>
      </w:r>
      <m:oMath>
        <m:r>
          <w:rPr>
            <w:rFonts w:ascii="Cambria Math" w:eastAsiaTheme="minorEastAsia" w:hAnsi="Cambria Math"/>
          </w:rPr>
          <m:t>i</m:t>
        </m:r>
      </m:oMath>
      <w:proofErr w:type="gramStart"/>
      <w:r w:rsidR="000C5164" w:rsidRPr="006B50CD">
        <w:rPr>
          <w:vertAlign w:val="superscript"/>
        </w:rPr>
        <w:t>th</w:t>
      </w:r>
      <w:proofErr w:type="gramEnd"/>
      <w:r w:rsidR="000C5164">
        <w:t xml:space="preserve"> difference as </w:t>
      </w:r>
      <w:bookmarkStart w:id="0" w:name="_GoBack"/>
      <w:bookmarkEnd w:id="0"/>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2,i</m:t>
            </m:r>
          </m:sub>
        </m:sSub>
      </m:oMath>
      <w:r w:rsidR="000C5164">
        <w:rPr>
          <w:rFonts w:eastAsiaTheme="minorEastAsia"/>
        </w:rPr>
        <w:t xml:space="preserve"> where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1,i</m:t>
            </m:r>
          </m:sub>
        </m:sSub>
      </m:oMath>
      <w:r w:rsidR="000C5164">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2,i</m:t>
            </m:r>
          </m:sub>
        </m:sSub>
      </m:oMath>
      <w:r w:rsidR="000C5164">
        <w:rPr>
          <w:rFonts w:eastAsiaTheme="minorEastAsia"/>
        </w:rPr>
        <w:t xml:space="preserve"> are the</w:t>
      </w:r>
      <w:r w:rsidR="00DB6FDD">
        <w:rPr>
          <w:rFonts w:eastAsiaTheme="minorEastAsia"/>
        </w:rPr>
        <w:t xml:space="preserve"> octa</w:t>
      </w:r>
      <w:r w:rsidR="00BD3972">
        <w:rPr>
          <w:rFonts w:eastAsiaTheme="minorEastAsia"/>
        </w:rPr>
        <w:t>ne</w:t>
      </w:r>
      <w:r w:rsidR="000C5164">
        <w:rPr>
          <w:rFonts w:eastAsiaTheme="minorEastAsia"/>
        </w:rPr>
        <w:t xml:space="preserve"> rating</w:t>
      </w:r>
      <w:r w:rsidR="00BD3972">
        <w:rPr>
          <w:rFonts w:eastAsiaTheme="minorEastAsia"/>
        </w:rPr>
        <w:t>s</w:t>
      </w:r>
      <w:r w:rsidR="000C5164">
        <w:rPr>
          <w:rFonts w:eastAsiaTheme="minorEastAsia"/>
        </w:rPr>
        <w:t xml:space="preserve"> given by the first</w:t>
      </w:r>
      <w:r w:rsidR="00BD3972">
        <w:rPr>
          <w:rFonts w:eastAsiaTheme="minorEastAsia"/>
        </w:rPr>
        <w:t xml:space="preserve"> and </w:t>
      </w:r>
      <w:r w:rsidR="000C5164">
        <w:rPr>
          <w:rFonts w:eastAsiaTheme="minorEastAsia"/>
        </w:rPr>
        <w:t>second method</w:t>
      </w:r>
      <w:r w:rsidR="00BD3972">
        <w:rPr>
          <w:rFonts w:eastAsiaTheme="minorEastAsia"/>
        </w:rPr>
        <w:t>s</w:t>
      </w:r>
      <w:r w:rsidR="000C5164">
        <w:rPr>
          <w:rFonts w:eastAsiaTheme="minorEastAsia"/>
        </w:rPr>
        <w:t xml:space="preserve"> respectively for the </w:t>
      </w:r>
      <m:oMath>
        <m:r>
          <w:rPr>
            <w:rFonts w:ascii="Cambria Math" w:eastAsiaTheme="minorEastAsia" w:hAnsi="Cambria Math"/>
          </w:rPr>
          <m:t>i</m:t>
        </m:r>
      </m:oMath>
      <w:r w:rsidR="000C5164">
        <w:rPr>
          <w:rFonts w:eastAsiaTheme="minorEastAsia"/>
        </w:rPr>
        <w:t xml:space="preserve">-th sample.  </w:t>
      </w:r>
      <w:r w:rsidR="00433C38">
        <w:rPr>
          <w:rFonts w:eastAsiaTheme="minorEastAsia"/>
        </w:rPr>
        <w:t>We tested t</w:t>
      </w:r>
      <w:r w:rsidR="001A04C4">
        <w:rPr>
          <w:rFonts w:eastAsiaTheme="minorEastAsia"/>
        </w:rPr>
        <w:t xml:space="preserve">he hypothesis </w:t>
      </w:r>
      <m:oMath>
        <m:r>
          <w:rPr>
            <w:rFonts w:ascii="Cambria Math" w:eastAsiaTheme="minorEastAsia" w:hAnsi="Cambria Math"/>
          </w:rPr>
          <m:t>δ</m:t>
        </m:r>
      </m:oMath>
      <w:r w:rsidR="001A04C4">
        <w:rPr>
          <w:rFonts w:eastAsiaTheme="minorEastAsia"/>
        </w:rPr>
        <w:t xml:space="preserve"> = 0,</w:t>
      </w:r>
      <w:r w:rsidR="00AA6A72">
        <w:rPr>
          <w:rFonts w:eastAsiaTheme="minorEastAsia"/>
        </w:rPr>
        <w:t xml:space="preserve"> where </w:t>
      </w:r>
      <m:oMath>
        <m:r>
          <w:rPr>
            <w:rFonts w:ascii="Cambria Math" w:eastAsiaTheme="minorEastAsia" w:hAnsi="Cambria Math"/>
          </w:rPr>
          <m:t>δ</m:t>
        </m:r>
      </m:oMath>
      <w:r w:rsidR="00AA6A72">
        <w:rPr>
          <w:rFonts w:eastAsiaTheme="minorEastAsia"/>
        </w:rPr>
        <w:t xml:space="preserve"> is the true mean dif</w:t>
      </w:r>
      <w:r w:rsidR="00433C38">
        <w:rPr>
          <w:rFonts w:eastAsiaTheme="minorEastAsia"/>
        </w:rPr>
        <w:t>ference between the two methods</w:t>
      </w:r>
      <w:r w:rsidR="00AA6A72">
        <w:rPr>
          <w:rFonts w:eastAsiaTheme="minorEastAsia"/>
        </w:rPr>
        <w:t xml:space="preserve"> at the 95% confidence level (</w:t>
      </w:r>
      <m:oMath>
        <m:r>
          <w:rPr>
            <w:rFonts w:ascii="Cambria Math" w:eastAsiaTheme="minorEastAsia" w:hAnsi="Cambria Math"/>
          </w:rPr>
          <m:t>α</m:t>
        </m:r>
      </m:oMath>
      <w:r w:rsidR="00AA6A72">
        <w:rPr>
          <w:rFonts w:eastAsiaTheme="minorEastAsia"/>
        </w:rPr>
        <w:t xml:space="preserve"> = 0.05).</w:t>
      </w:r>
    </w:p>
    <w:p w:rsidR="00BA5F50" w:rsidRDefault="00BA5F50" w:rsidP="00432CAA">
      <w:pPr>
        <w:spacing w:after="0" w:line="240" w:lineRule="auto"/>
        <w:rPr>
          <w:rFonts w:eastAsiaTheme="minorEastAsia"/>
        </w:rPr>
      </w:pPr>
    </w:p>
    <w:p w:rsidR="00BA5F50" w:rsidRDefault="00BA5F50" w:rsidP="00432CAA">
      <w:pPr>
        <w:spacing w:after="0" w:line="240" w:lineRule="auto"/>
        <w:rPr>
          <w:rFonts w:eastAsiaTheme="minorEastAsia"/>
          <w:b/>
        </w:rPr>
      </w:pPr>
      <w:r>
        <w:rPr>
          <w:rFonts w:eastAsiaTheme="minorEastAsia"/>
          <w:b/>
        </w:rPr>
        <w:t>Results</w:t>
      </w:r>
      <w:r w:rsidR="000C0A59">
        <w:rPr>
          <w:rFonts w:eastAsiaTheme="minorEastAsia"/>
          <w:b/>
        </w:rPr>
        <w:t xml:space="preserve"> and Analysis</w:t>
      </w:r>
    </w:p>
    <w:p w:rsidR="006E6FAD" w:rsidRDefault="00445378" w:rsidP="00432CAA">
      <w:pPr>
        <w:spacing w:after="0" w:line="240" w:lineRule="auto"/>
      </w:pPr>
      <w:r>
        <w:t xml:space="preserve">Figure 1 shows the results of </w:t>
      </w:r>
      <w:r w:rsidR="00913CFA">
        <w:t>32</w:t>
      </w:r>
      <w:r>
        <w:t xml:space="preserve"> tests</w:t>
      </w:r>
      <w:r w:rsidR="00913CFA">
        <w:t xml:space="preserve"> on a parity plot</w:t>
      </w:r>
      <w:r>
        <w:t>.  Each blend appears as one point on the graph</w:t>
      </w:r>
      <w:r w:rsidR="00913CFA">
        <w:t>. The data points do not lie on the parity line.</w:t>
      </w:r>
      <w:r>
        <w:t xml:space="preserve"> In each case, Method #2 produces </w:t>
      </w:r>
      <w:r w:rsidR="006E6FAD">
        <w:t xml:space="preserve">higher octane rating than Method #1.  The amount of disparity is not correlated with octane value </w:t>
      </w:r>
      <w:r w:rsidR="00913CFA">
        <w:t>since</w:t>
      </w:r>
      <w:r w:rsidR="006E6FAD">
        <w:t xml:space="preserve"> similar differences </w:t>
      </w:r>
      <w:r w:rsidR="00913CFA">
        <w:t xml:space="preserve">between the two methods </w:t>
      </w:r>
      <w:r w:rsidR="006E6FAD">
        <w:t>are found at both high and low ratings.</w:t>
      </w:r>
    </w:p>
    <w:p w:rsidR="004360D5" w:rsidRDefault="004360D5" w:rsidP="00432CAA">
      <w:pPr>
        <w:spacing w:after="0" w:line="240" w:lineRule="auto"/>
      </w:pPr>
    </w:p>
    <w:p w:rsidR="006379CC" w:rsidRDefault="006379CC" w:rsidP="006379CC">
      <w:pPr>
        <w:spacing w:after="0" w:line="240" w:lineRule="auto"/>
      </w:pPr>
      <w:r>
        <w:t xml:space="preserve">The statistical analysis of the results requires the calculation of the difference in the octane values produced using the two methods for each sample.  The average difference was -7.1 and the standard deviation of the difference was 3.0. Differences were not dependent upon the magnitude of the octane value since both large and small differences were found throughout the entire range of octanes.  The test statistic for the average difference being equal to 0, with 31 degrees of freedom, was -13.2.  At the 95% confidence level, the two-tail </w:t>
      </w:r>
      <w:r w:rsidRPr="006379CC">
        <w:rPr>
          <w:i/>
        </w:rPr>
        <w:t>t</w:t>
      </w:r>
      <w:r>
        <w:t xml:space="preserve">-statistic for 31 degrees of freedom was 2.040.  Since |-13.2| &gt; 2.040, there is sufficient evidence to conclude that the two methods for calculating the octane rating of a sample of gasoline do not produce the same results.  The 95% confidence interval for the difference indicates that Method #2 generates ratings between 6.0 and 8.2 octane units higher than Method #1. </w:t>
      </w:r>
    </w:p>
    <w:p w:rsidR="006379CC" w:rsidRDefault="006379CC" w:rsidP="006379CC">
      <w:pPr>
        <w:spacing w:after="0" w:line="240" w:lineRule="auto"/>
      </w:pPr>
    </w:p>
    <w:p w:rsidR="00C04B17" w:rsidRDefault="00C04B17" w:rsidP="00C04B17">
      <w:pPr>
        <w:keepNext/>
        <w:spacing w:after="0" w:line="240" w:lineRule="auto"/>
        <w:jc w:val="center"/>
      </w:pPr>
      <w:r>
        <w:rPr>
          <w:noProof/>
        </w:rPr>
        <w:lastRenderedPageBreak/>
        <w:drawing>
          <wp:inline distT="0" distB="0" distL="0" distR="0" wp14:anchorId="1C4EF356" wp14:editId="1BD9DD32">
            <wp:extent cx="4245714" cy="2551611"/>
            <wp:effectExtent l="0" t="0" r="254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04B17" w:rsidRPr="001E0313" w:rsidRDefault="00C04B17" w:rsidP="00C04B17">
      <w:pPr>
        <w:pStyle w:val="Caption"/>
        <w:jc w:val="center"/>
        <w:rPr>
          <w:color w:val="000000" w:themeColor="text1"/>
        </w:rPr>
      </w:pPr>
      <w:r w:rsidRPr="001E0313">
        <w:rPr>
          <w:color w:val="000000" w:themeColor="text1"/>
        </w:rPr>
        <w:t xml:space="preserve">Figure </w:t>
      </w:r>
      <w:r w:rsidRPr="001E0313">
        <w:rPr>
          <w:color w:val="000000" w:themeColor="text1"/>
        </w:rPr>
        <w:fldChar w:fldCharType="begin"/>
      </w:r>
      <w:r w:rsidRPr="001E0313">
        <w:rPr>
          <w:color w:val="000000" w:themeColor="text1"/>
        </w:rPr>
        <w:instrText xml:space="preserve"> SEQ Figure \* ARABIC </w:instrText>
      </w:r>
      <w:r w:rsidRPr="001E0313">
        <w:rPr>
          <w:color w:val="000000" w:themeColor="text1"/>
        </w:rPr>
        <w:fldChar w:fldCharType="separate"/>
      </w:r>
      <w:r w:rsidR="002454F4">
        <w:rPr>
          <w:noProof/>
          <w:color w:val="000000" w:themeColor="text1"/>
        </w:rPr>
        <w:t>1</w:t>
      </w:r>
      <w:r w:rsidRPr="001E0313">
        <w:rPr>
          <w:color w:val="000000" w:themeColor="text1"/>
        </w:rPr>
        <w:fldChar w:fldCharType="end"/>
      </w:r>
      <w:r w:rsidR="006379CC">
        <w:rPr>
          <w:color w:val="000000" w:themeColor="text1"/>
        </w:rPr>
        <w:t>.</w:t>
      </w:r>
      <w:r w:rsidR="007B1844">
        <w:rPr>
          <w:color w:val="000000" w:themeColor="text1"/>
        </w:rPr>
        <w:t xml:space="preserve"> Comparison of octane measurements using the motor (Method #1) and research (Method #2) m</w:t>
      </w:r>
      <w:r w:rsidRPr="001E0313">
        <w:rPr>
          <w:color w:val="000000" w:themeColor="text1"/>
        </w:rPr>
        <w:t>ethods.</w:t>
      </w:r>
    </w:p>
    <w:p w:rsidR="00623265" w:rsidRDefault="00623265" w:rsidP="00432CAA">
      <w:pPr>
        <w:spacing w:after="0" w:line="240" w:lineRule="auto"/>
      </w:pPr>
    </w:p>
    <w:p w:rsidR="0065559A" w:rsidRDefault="0065559A" w:rsidP="00B765B4">
      <w:pPr>
        <w:spacing w:after="0" w:line="240" w:lineRule="auto"/>
      </w:pPr>
      <w:r>
        <w:rPr>
          <w:b/>
        </w:rPr>
        <w:t>Conclusions/Recommendations</w:t>
      </w:r>
    </w:p>
    <w:p w:rsidR="00BA5F50" w:rsidRPr="00BA5F50" w:rsidRDefault="00654861" w:rsidP="00432CAA">
      <w:pPr>
        <w:spacing w:after="0" w:line="240" w:lineRule="auto"/>
      </w:pPr>
      <w:r>
        <w:t>The data indicate</w:t>
      </w:r>
      <w:r w:rsidR="0065559A">
        <w:t xml:space="preserve"> that the </w:t>
      </w:r>
      <w:r w:rsidR="0025536C">
        <w:t xml:space="preserve">two methods currently used in the plant to calculate the octane rating of gasoline blends do </w:t>
      </w:r>
      <w:r w:rsidR="0025536C" w:rsidRPr="0026394A">
        <w:rPr>
          <w:u w:val="single"/>
        </w:rPr>
        <w:t>not</w:t>
      </w:r>
      <w:r w:rsidR="0025536C">
        <w:t xml:space="preserve"> produce similar results.  The motor research method (Method #1) yields octane readings that are between 6.0 and 8.2 units higher than the motor method (Method #2).  </w:t>
      </w:r>
      <w:r w:rsidR="0026394A">
        <w:t>Since</w:t>
      </w:r>
      <w:r w:rsidR="0025536C">
        <w:t xml:space="preserve"> the </w:t>
      </w:r>
      <w:r w:rsidR="00075392">
        <w:t xml:space="preserve">proposed control system requires consistent measurements of octane rating, </w:t>
      </w:r>
      <w:r w:rsidR="00433C38">
        <w:t xml:space="preserve">we recommend </w:t>
      </w:r>
      <w:r w:rsidR="00075392">
        <w:t>selecting one method to use thr</w:t>
      </w:r>
      <w:r w:rsidR="00433C38">
        <w:t>oughout the plant</w:t>
      </w:r>
      <w:r w:rsidR="00075392">
        <w:t xml:space="preserve">.  </w:t>
      </w:r>
      <w:r w:rsidR="0026394A">
        <w:t>T</w:t>
      </w:r>
      <w:r w:rsidR="00075392">
        <w:t>his study did not address the accuracy of each method, nor other factors such as the cost, reliability, or equipment issues</w:t>
      </w:r>
      <w:r w:rsidR="0026394A">
        <w:t>.</w:t>
      </w:r>
      <w:r w:rsidR="00075392">
        <w:t xml:space="preserve"> </w:t>
      </w:r>
      <w:r w:rsidR="00433C38">
        <w:t>We recommend a</w:t>
      </w:r>
      <w:r w:rsidR="00075392">
        <w:t xml:space="preserve">dditional studies </w:t>
      </w:r>
      <w:r w:rsidR="006379CC">
        <w:t>with</w:t>
      </w:r>
      <w:r w:rsidR="0026394A">
        <w:t xml:space="preserve"> calibrated samples</w:t>
      </w:r>
      <w:r w:rsidR="00075392">
        <w:t xml:space="preserve"> </w:t>
      </w:r>
      <w:r w:rsidR="00F11D75">
        <w:t xml:space="preserve">to </w:t>
      </w:r>
      <w:r w:rsidR="0026394A">
        <w:t>identify</w:t>
      </w:r>
      <w:r w:rsidR="00F11D75">
        <w:t xml:space="preserve"> the best method</w:t>
      </w:r>
      <w:r w:rsidR="00075392">
        <w:t>.</w:t>
      </w:r>
    </w:p>
    <w:sectPr w:rsidR="00BA5F50" w:rsidRPr="00BA5F50">
      <w:headerReference w:type="default" r:id="rId8"/>
      <w:footerReference w:type="default" r:id="rId9"/>
      <w:footnotePr>
        <w:numFmt w:val="chicago"/>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6D" w:rsidRDefault="0088256D" w:rsidP="008769BA">
      <w:pPr>
        <w:spacing w:after="0" w:line="240" w:lineRule="auto"/>
      </w:pPr>
      <w:r>
        <w:separator/>
      </w:r>
    </w:p>
  </w:endnote>
  <w:endnote w:type="continuationSeparator" w:id="0">
    <w:p w:rsidR="0088256D" w:rsidRDefault="0088256D" w:rsidP="008769BA">
      <w:pPr>
        <w:spacing w:after="0" w:line="240" w:lineRule="auto"/>
      </w:pPr>
      <w:r>
        <w:continuationSeparator/>
      </w:r>
    </w:p>
  </w:endnote>
  <w:endnote w:id="1">
    <w:p w:rsidR="00BA0837" w:rsidRDefault="00BA0837">
      <w:pPr>
        <w:pStyle w:val="EndnoteText"/>
      </w:pPr>
      <w:r>
        <w:rPr>
          <w:rStyle w:val="EndnoteReference"/>
        </w:rPr>
        <w:endnoteRef/>
      </w:r>
      <w:r>
        <w:t xml:space="preserve"> R. D. </w:t>
      </w:r>
      <w:proofErr w:type="spellStart"/>
      <w:r>
        <w:t>Snee</w:t>
      </w:r>
      <w:proofErr w:type="spellEnd"/>
      <w:r>
        <w:t xml:space="preserve">, Developing blending models for gasoline and other mixtures, </w:t>
      </w:r>
      <w:proofErr w:type="spellStart"/>
      <w:r>
        <w:rPr>
          <w:i/>
        </w:rPr>
        <w:t>Technometrics</w:t>
      </w:r>
      <w:proofErr w:type="spellEnd"/>
      <w:r>
        <w:t xml:space="preserve">, </w:t>
      </w:r>
      <w:r>
        <w:rPr>
          <w:b/>
        </w:rPr>
        <w:t>23</w:t>
      </w:r>
      <w:r>
        <w:t>, 119-130 (1981).</w:t>
      </w:r>
    </w:p>
  </w:endnote>
  <w:endnote w:id="2">
    <w:p w:rsidR="00BA0837" w:rsidRPr="00422974" w:rsidRDefault="00BA0837" w:rsidP="00BA0837">
      <w:pPr>
        <w:pStyle w:val="Footer"/>
        <w:rPr>
          <w:color w:val="808080" w:themeColor="background1" w:themeShade="80"/>
          <w:sz w:val="18"/>
          <w:szCs w:val="18"/>
        </w:rPr>
      </w:pPr>
      <w:r>
        <w:rPr>
          <w:rStyle w:val="EndnoteReference"/>
        </w:rPr>
        <w:endnoteRef/>
      </w:r>
      <w:r>
        <w:t xml:space="preserve"> </w:t>
      </w:r>
      <w:r w:rsidRPr="00BA0837">
        <w:rPr>
          <w:color w:val="000000" w:themeColor="text1"/>
          <w:sz w:val="20"/>
          <w:szCs w:val="20"/>
        </w:rPr>
        <w:t xml:space="preserve">This report was prepared for pedagogical purposes.  The data and data analysis were taken from an example in Chapter 4 of </w:t>
      </w:r>
      <w:r w:rsidRPr="00BA0837">
        <w:rPr>
          <w:i/>
          <w:color w:val="000000" w:themeColor="text1"/>
          <w:sz w:val="20"/>
          <w:szCs w:val="20"/>
        </w:rPr>
        <w:t>Statistical Methods for Engineers</w:t>
      </w:r>
      <w:r w:rsidRPr="00BA0837">
        <w:rPr>
          <w:color w:val="000000" w:themeColor="text1"/>
          <w:sz w:val="20"/>
          <w:szCs w:val="20"/>
        </w:rPr>
        <w:t xml:space="preserve"> by G. Geoffrey Vining.</w:t>
      </w:r>
    </w:p>
    <w:p w:rsidR="00BA0837" w:rsidRDefault="00BA083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04677"/>
      <w:docPartObj>
        <w:docPartGallery w:val="Page Numbers (Bottom of Page)"/>
        <w:docPartUnique/>
      </w:docPartObj>
    </w:sdtPr>
    <w:sdtEndPr>
      <w:rPr>
        <w:noProof/>
      </w:rPr>
    </w:sdtEndPr>
    <w:sdtContent>
      <w:p w:rsidR="006379CC" w:rsidRDefault="006379CC">
        <w:pPr>
          <w:pStyle w:val="Footer"/>
          <w:jc w:val="right"/>
        </w:pPr>
        <w:r>
          <w:fldChar w:fldCharType="begin"/>
        </w:r>
        <w:r>
          <w:instrText xml:space="preserve"> PAGE   \* MERGEFORMAT </w:instrText>
        </w:r>
        <w:r>
          <w:fldChar w:fldCharType="separate"/>
        </w:r>
        <w:r w:rsidR="00DF0FAF">
          <w:rPr>
            <w:noProof/>
          </w:rPr>
          <w:t>2</w:t>
        </w:r>
        <w:r>
          <w:rPr>
            <w:noProof/>
          </w:rPr>
          <w:fldChar w:fldCharType="end"/>
        </w:r>
      </w:p>
    </w:sdtContent>
  </w:sdt>
  <w:p w:rsidR="008769BA" w:rsidRDefault="00876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6D" w:rsidRDefault="0088256D" w:rsidP="008769BA">
      <w:pPr>
        <w:spacing w:after="0" w:line="240" w:lineRule="auto"/>
      </w:pPr>
      <w:r>
        <w:separator/>
      </w:r>
    </w:p>
  </w:footnote>
  <w:footnote w:type="continuationSeparator" w:id="0">
    <w:p w:rsidR="0088256D" w:rsidRDefault="0088256D" w:rsidP="008769BA">
      <w:pPr>
        <w:spacing w:after="0" w:line="240" w:lineRule="auto"/>
      </w:pPr>
      <w:r>
        <w:continuationSeparator/>
      </w:r>
    </w:p>
  </w:footnote>
  <w:footnote w:id="1">
    <w:p w:rsidR="006379CC" w:rsidRDefault="006379CC">
      <w:pPr>
        <w:pStyle w:val="FootnoteText"/>
      </w:pPr>
      <w:r>
        <w:rPr>
          <w:rStyle w:val="FootnoteReference"/>
        </w:rPr>
        <w:footnoteRef/>
      </w:r>
      <w:r>
        <w:t xml:space="preserve"> This is a sample memo report. It is a little short, and could include one more figure or table. The length should be 2 to 3 pages, but should include the types of sections illustrated here. The data and analysis are illustrative and not necessarily accurate.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F4" w:rsidRDefault="002454F4">
    <w:pPr>
      <w:pStyle w:val="Header"/>
    </w:pPr>
    <w:r>
      <w:t>Fall 201</w:t>
    </w:r>
    <w:r w:rsidR="00913CFA">
      <w:t>3</w:t>
    </w:r>
    <w:r>
      <w:ptab w:relativeTo="margin" w:alignment="center" w:leader="none"/>
    </w:r>
    <w:proofErr w:type="spellStart"/>
    <w:r>
      <w:t>ChEn</w:t>
    </w:r>
    <w:proofErr w:type="spellEnd"/>
    <w:r>
      <w:t xml:space="preserve"> 475</w:t>
    </w:r>
    <w:r>
      <w:ptab w:relativeTo="margin" w:alignment="right" w:leader="none"/>
    </w:r>
    <w:r>
      <w:t>Sample Memo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AA"/>
    <w:rsid w:val="000669A7"/>
    <w:rsid w:val="00075392"/>
    <w:rsid w:val="00076C56"/>
    <w:rsid w:val="000A7DAC"/>
    <w:rsid w:val="000B3580"/>
    <w:rsid w:val="000C0A59"/>
    <w:rsid w:val="000C5164"/>
    <w:rsid w:val="000F68FA"/>
    <w:rsid w:val="001A04C4"/>
    <w:rsid w:val="001E0313"/>
    <w:rsid w:val="001E24DF"/>
    <w:rsid w:val="002454F4"/>
    <w:rsid w:val="0025536C"/>
    <w:rsid w:val="0026394A"/>
    <w:rsid w:val="002726A5"/>
    <w:rsid w:val="002D1265"/>
    <w:rsid w:val="00376342"/>
    <w:rsid w:val="003B6467"/>
    <w:rsid w:val="00422974"/>
    <w:rsid w:val="00432CAA"/>
    <w:rsid w:val="00433C38"/>
    <w:rsid w:val="004360D5"/>
    <w:rsid w:val="004438C9"/>
    <w:rsid w:val="00445378"/>
    <w:rsid w:val="00466F61"/>
    <w:rsid w:val="006061EF"/>
    <w:rsid w:val="00623265"/>
    <w:rsid w:val="006379CC"/>
    <w:rsid w:val="00654861"/>
    <w:rsid w:val="0065559A"/>
    <w:rsid w:val="00682C34"/>
    <w:rsid w:val="00696893"/>
    <w:rsid w:val="006B10C0"/>
    <w:rsid w:val="006B50CD"/>
    <w:rsid w:val="006E191E"/>
    <w:rsid w:val="006E6FAD"/>
    <w:rsid w:val="007B1844"/>
    <w:rsid w:val="008769BA"/>
    <w:rsid w:val="0088256D"/>
    <w:rsid w:val="008A6480"/>
    <w:rsid w:val="008A68A1"/>
    <w:rsid w:val="00913CFA"/>
    <w:rsid w:val="0092590F"/>
    <w:rsid w:val="00A17EF6"/>
    <w:rsid w:val="00A23C25"/>
    <w:rsid w:val="00A452FD"/>
    <w:rsid w:val="00A73D49"/>
    <w:rsid w:val="00A81815"/>
    <w:rsid w:val="00AA6A72"/>
    <w:rsid w:val="00B765B4"/>
    <w:rsid w:val="00BA0837"/>
    <w:rsid w:val="00BA5F50"/>
    <w:rsid w:val="00BD3972"/>
    <w:rsid w:val="00C04B17"/>
    <w:rsid w:val="00C13319"/>
    <w:rsid w:val="00C40BF2"/>
    <w:rsid w:val="00CD56FA"/>
    <w:rsid w:val="00CE0CA6"/>
    <w:rsid w:val="00D176CD"/>
    <w:rsid w:val="00DB6428"/>
    <w:rsid w:val="00DB6FDD"/>
    <w:rsid w:val="00DF0FAF"/>
    <w:rsid w:val="00E20F09"/>
    <w:rsid w:val="00E92750"/>
    <w:rsid w:val="00ED4051"/>
    <w:rsid w:val="00F11D75"/>
    <w:rsid w:val="00FE709F"/>
    <w:rsid w:val="00FF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E43BA-4EFB-4B1F-A9DF-5AAB3813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164"/>
    <w:rPr>
      <w:color w:val="808080"/>
    </w:rPr>
  </w:style>
  <w:style w:type="paragraph" w:styleId="BalloonText">
    <w:name w:val="Balloon Text"/>
    <w:basedOn w:val="Normal"/>
    <w:link w:val="BalloonTextChar"/>
    <w:uiPriority w:val="99"/>
    <w:semiHidden/>
    <w:unhideWhenUsed/>
    <w:rsid w:val="000C5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164"/>
    <w:rPr>
      <w:rFonts w:ascii="Tahoma" w:hAnsi="Tahoma" w:cs="Tahoma"/>
      <w:sz w:val="16"/>
      <w:szCs w:val="16"/>
    </w:rPr>
  </w:style>
  <w:style w:type="paragraph" w:styleId="Caption">
    <w:name w:val="caption"/>
    <w:basedOn w:val="Normal"/>
    <w:next w:val="Normal"/>
    <w:uiPriority w:val="35"/>
    <w:unhideWhenUsed/>
    <w:qFormat/>
    <w:rsid w:val="00C04B17"/>
    <w:pPr>
      <w:spacing w:line="240" w:lineRule="auto"/>
    </w:pPr>
    <w:rPr>
      <w:b/>
      <w:bCs/>
      <w:color w:val="4F81BD" w:themeColor="accent1"/>
      <w:sz w:val="18"/>
      <w:szCs w:val="18"/>
    </w:rPr>
  </w:style>
  <w:style w:type="paragraph" w:styleId="Header">
    <w:name w:val="header"/>
    <w:basedOn w:val="Normal"/>
    <w:link w:val="HeaderChar"/>
    <w:uiPriority w:val="99"/>
    <w:unhideWhenUsed/>
    <w:rsid w:val="00876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BA"/>
  </w:style>
  <w:style w:type="paragraph" w:styleId="Footer">
    <w:name w:val="footer"/>
    <w:basedOn w:val="Normal"/>
    <w:link w:val="FooterChar"/>
    <w:uiPriority w:val="99"/>
    <w:unhideWhenUsed/>
    <w:rsid w:val="00876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9BA"/>
  </w:style>
  <w:style w:type="paragraph" w:styleId="FootnoteText">
    <w:name w:val="footnote text"/>
    <w:basedOn w:val="Normal"/>
    <w:link w:val="FootnoteTextChar"/>
    <w:uiPriority w:val="99"/>
    <w:semiHidden/>
    <w:unhideWhenUsed/>
    <w:rsid w:val="004229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974"/>
    <w:rPr>
      <w:sz w:val="20"/>
      <w:szCs w:val="20"/>
    </w:rPr>
  </w:style>
  <w:style w:type="character" w:styleId="FootnoteReference">
    <w:name w:val="footnote reference"/>
    <w:basedOn w:val="DefaultParagraphFont"/>
    <w:uiPriority w:val="99"/>
    <w:semiHidden/>
    <w:unhideWhenUsed/>
    <w:rsid w:val="00422974"/>
    <w:rPr>
      <w:vertAlign w:val="superscript"/>
    </w:rPr>
  </w:style>
  <w:style w:type="paragraph" w:styleId="EndnoteText">
    <w:name w:val="endnote text"/>
    <w:basedOn w:val="Normal"/>
    <w:link w:val="EndnoteTextChar"/>
    <w:uiPriority w:val="99"/>
    <w:semiHidden/>
    <w:unhideWhenUsed/>
    <w:rsid w:val="00BA08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0837"/>
    <w:rPr>
      <w:sz w:val="20"/>
      <w:szCs w:val="20"/>
    </w:rPr>
  </w:style>
  <w:style w:type="character" w:styleId="EndnoteReference">
    <w:name w:val="endnote reference"/>
    <w:basedOn w:val="DefaultParagraphFont"/>
    <w:uiPriority w:val="99"/>
    <w:semiHidden/>
    <w:unhideWhenUsed/>
    <w:rsid w:val="00BA08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162254">
      <w:bodyDiv w:val="1"/>
      <w:marLeft w:val="0"/>
      <w:marRight w:val="0"/>
      <w:marTop w:val="0"/>
      <w:marBottom w:val="0"/>
      <w:divBdr>
        <w:top w:val="none" w:sz="0" w:space="0" w:color="auto"/>
        <w:left w:val="none" w:sz="0" w:space="0" w:color="auto"/>
        <w:bottom w:val="none" w:sz="0" w:space="0" w:color="auto"/>
        <w:right w:val="none" w:sz="0" w:space="0" w:color="auto"/>
      </w:divBdr>
    </w:div>
    <w:div w:id="110338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k6\Documents\1%20Classes\ChE475\Fall11\Memo%20Report%20Example\data-for-memo-report-examp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1"/>
          <c:order val="1"/>
          <c:marker>
            <c:symbol val="none"/>
          </c:marker>
          <c:xVal>
            <c:numRef>
              <c:f>Sheet1!$G$3:$H$3</c:f>
              <c:numCache>
                <c:formatCode>General</c:formatCode>
                <c:ptCount val="2"/>
                <c:pt idx="0">
                  <c:v>78</c:v>
                </c:pt>
                <c:pt idx="1">
                  <c:v>115</c:v>
                </c:pt>
              </c:numCache>
            </c:numRef>
          </c:xVal>
          <c:yVal>
            <c:numRef>
              <c:f>Sheet1!$G$4:$H$4</c:f>
              <c:numCache>
                <c:formatCode>General</c:formatCode>
                <c:ptCount val="2"/>
                <c:pt idx="0">
                  <c:v>78</c:v>
                </c:pt>
                <c:pt idx="1">
                  <c:v>115</c:v>
                </c:pt>
              </c:numCache>
            </c:numRef>
          </c:yVal>
          <c:smooth val="1"/>
        </c:ser>
        <c:dLbls>
          <c:showLegendKey val="0"/>
          <c:showVal val="0"/>
          <c:showCatName val="0"/>
          <c:showSerName val="0"/>
          <c:showPercent val="0"/>
          <c:showBubbleSize val="0"/>
        </c:dLbls>
        <c:axId val="1363790800"/>
        <c:axId val="1363794064"/>
      </c:scatterChart>
      <c:scatterChart>
        <c:scatterStyle val="lineMarker"/>
        <c:varyColors val="0"/>
        <c:ser>
          <c:idx val="0"/>
          <c:order val="0"/>
          <c:spPr>
            <a:ln w="28575">
              <a:noFill/>
            </a:ln>
          </c:spPr>
          <c:xVal>
            <c:numRef>
              <c:f>Sheet1!$B$3:$B$34</c:f>
              <c:numCache>
                <c:formatCode>General</c:formatCode>
                <c:ptCount val="32"/>
                <c:pt idx="0">
                  <c:v>81.400000000000006</c:v>
                </c:pt>
                <c:pt idx="1">
                  <c:v>82.2</c:v>
                </c:pt>
                <c:pt idx="2">
                  <c:v>83.1</c:v>
                </c:pt>
                <c:pt idx="3">
                  <c:v>83.8</c:v>
                </c:pt>
                <c:pt idx="4">
                  <c:v>84</c:v>
                </c:pt>
                <c:pt idx="5">
                  <c:v>84.7</c:v>
                </c:pt>
                <c:pt idx="6">
                  <c:v>84.8</c:v>
                </c:pt>
                <c:pt idx="7">
                  <c:v>85</c:v>
                </c:pt>
                <c:pt idx="8">
                  <c:v>85.9</c:v>
                </c:pt>
                <c:pt idx="9">
                  <c:v>86.2</c:v>
                </c:pt>
                <c:pt idx="10">
                  <c:v>86.5</c:v>
                </c:pt>
                <c:pt idx="11">
                  <c:v>86.8</c:v>
                </c:pt>
                <c:pt idx="12">
                  <c:v>87.4</c:v>
                </c:pt>
                <c:pt idx="13">
                  <c:v>87.7</c:v>
                </c:pt>
                <c:pt idx="14">
                  <c:v>87.7</c:v>
                </c:pt>
                <c:pt idx="15">
                  <c:v>87.9</c:v>
                </c:pt>
                <c:pt idx="16">
                  <c:v>88.1</c:v>
                </c:pt>
                <c:pt idx="17">
                  <c:v>89.3</c:v>
                </c:pt>
                <c:pt idx="18">
                  <c:v>90</c:v>
                </c:pt>
                <c:pt idx="19">
                  <c:v>90.2</c:v>
                </c:pt>
                <c:pt idx="20">
                  <c:v>90.2</c:v>
                </c:pt>
                <c:pt idx="21">
                  <c:v>90.7</c:v>
                </c:pt>
                <c:pt idx="22">
                  <c:v>91.3</c:v>
                </c:pt>
                <c:pt idx="23">
                  <c:v>91.4</c:v>
                </c:pt>
                <c:pt idx="24">
                  <c:v>91.4</c:v>
                </c:pt>
                <c:pt idx="25">
                  <c:v>91.7</c:v>
                </c:pt>
                <c:pt idx="26">
                  <c:v>92.4</c:v>
                </c:pt>
                <c:pt idx="27">
                  <c:v>93.7</c:v>
                </c:pt>
                <c:pt idx="28">
                  <c:v>94.7</c:v>
                </c:pt>
                <c:pt idx="29">
                  <c:v>98</c:v>
                </c:pt>
                <c:pt idx="30">
                  <c:v>105</c:v>
                </c:pt>
                <c:pt idx="31">
                  <c:v>105.5</c:v>
                </c:pt>
              </c:numCache>
            </c:numRef>
          </c:xVal>
          <c:yVal>
            <c:numRef>
              <c:f>Sheet1!$C$3:$C$34</c:f>
              <c:numCache>
                <c:formatCode>General</c:formatCode>
                <c:ptCount val="32"/>
                <c:pt idx="0">
                  <c:v>83.3</c:v>
                </c:pt>
                <c:pt idx="1">
                  <c:v>93.5</c:v>
                </c:pt>
                <c:pt idx="2">
                  <c:v>89.2</c:v>
                </c:pt>
                <c:pt idx="3">
                  <c:v>85.9</c:v>
                </c:pt>
                <c:pt idx="4">
                  <c:v>94.7</c:v>
                </c:pt>
                <c:pt idx="5">
                  <c:v>88.8</c:v>
                </c:pt>
                <c:pt idx="6">
                  <c:v>95.3</c:v>
                </c:pt>
                <c:pt idx="7">
                  <c:v>92.8</c:v>
                </c:pt>
                <c:pt idx="8">
                  <c:v>97</c:v>
                </c:pt>
                <c:pt idx="9">
                  <c:v>93.6</c:v>
                </c:pt>
                <c:pt idx="10">
                  <c:v>92.3</c:v>
                </c:pt>
                <c:pt idx="11">
                  <c:v>96.5</c:v>
                </c:pt>
                <c:pt idx="12">
                  <c:v>97.5</c:v>
                </c:pt>
                <c:pt idx="13">
                  <c:v>97.4</c:v>
                </c:pt>
                <c:pt idx="14">
                  <c:v>93.9</c:v>
                </c:pt>
                <c:pt idx="15">
                  <c:v>95.7</c:v>
                </c:pt>
                <c:pt idx="16">
                  <c:v>99.7</c:v>
                </c:pt>
                <c:pt idx="17">
                  <c:v>100.2</c:v>
                </c:pt>
                <c:pt idx="18">
                  <c:v>99.1</c:v>
                </c:pt>
                <c:pt idx="19">
                  <c:v>98.6</c:v>
                </c:pt>
                <c:pt idx="20">
                  <c:v>99.5</c:v>
                </c:pt>
                <c:pt idx="21">
                  <c:v>98.4</c:v>
                </c:pt>
                <c:pt idx="22">
                  <c:v>97.4</c:v>
                </c:pt>
                <c:pt idx="23">
                  <c:v>99.4</c:v>
                </c:pt>
                <c:pt idx="24">
                  <c:v>94.1</c:v>
                </c:pt>
                <c:pt idx="25">
                  <c:v>96.3</c:v>
                </c:pt>
                <c:pt idx="26">
                  <c:v>99.8</c:v>
                </c:pt>
                <c:pt idx="27">
                  <c:v>101.3</c:v>
                </c:pt>
                <c:pt idx="28">
                  <c:v>103.1</c:v>
                </c:pt>
                <c:pt idx="29">
                  <c:v>101.9</c:v>
                </c:pt>
                <c:pt idx="30">
                  <c:v>106.6</c:v>
                </c:pt>
                <c:pt idx="31">
                  <c:v>106.2</c:v>
                </c:pt>
              </c:numCache>
            </c:numRef>
          </c:yVal>
          <c:smooth val="0"/>
        </c:ser>
        <c:dLbls>
          <c:showLegendKey val="0"/>
          <c:showVal val="0"/>
          <c:showCatName val="0"/>
          <c:showSerName val="0"/>
          <c:showPercent val="0"/>
          <c:showBubbleSize val="0"/>
        </c:dLbls>
        <c:axId val="1363790800"/>
        <c:axId val="1363794064"/>
      </c:scatterChart>
      <c:valAx>
        <c:axId val="1363790800"/>
        <c:scaling>
          <c:orientation val="minMax"/>
          <c:max val="110"/>
          <c:min val="78"/>
        </c:scaling>
        <c:delete val="0"/>
        <c:axPos val="b"/>
        <c:title>
          <c:tx>
            <c:rich>
              <a:bodyPr/>
              <a:lstStyle/>
              <a:p>
                <a:pPr>
                  <a:defRPr/>
                </a:pPr>
                <a:r>
                  <a:rPr lang="en-US"/>
                  <a:t>Method #1 Octane</a:t>
                </a:r>
                <a:r>
                  <a:rPr lang="en-US" baseline="0"/>
                  <a:t> Rating</a:t>
                </a:r>
                <a:endParaRPr lang="en-US"/>
              </a:p>
            </c:rich>
          </c:tx>
          <c:overlay val="0"/>
        </c:title>
        <c:numFmt formatCode="General" sourceLinked="1"/>
        <c:majorTickMark val="in"/>
        <c:minorTickMark val="none"/>
        <c:tickLblPos val="nextTo"/>
        <c:crossAx val="1363794064"/>
        <c:crosses val="autoZero"/>
        <c:crossBetween val="midCat"/>
      </c:valAx>
      <c:valAx>
        <c:axId val="1363794064"/>
        <c:scaling>
          <c:orientation val="minMax"/>
          <c:max val="110"/>
          <c:min val="78"/>
        </c:scaling>
        <c:delete val="0"/>
        <c:axPos val="l"/>
        <c:title>
          <c:tx>
            <c:rich>
              <a:bodyPr rot="-5400000" vert="horz"/>
              <a:lstStyle/>
              <a:p>
                <a:pPr>
                  <a:defRPr/>
                </a:pPr>
                <a:r>
                  <a:rPr lang="en-US"/>
                  <a:t>Method #2 Octane</a:t>
                </a:r>
                <a:r>
                  <a:rPr lang="en-US" baseline="0"/>
                  <a:t> Rating</a:t>
                </a:r>
                <a:endParaRPr lang="en-US"/>
              </a:p>
            </c:rich>
          </c:tx>
          <c:overlay val="0"/>
        </c:title>
        <c:numFmt formatCode="General" sourceLinked="1"/>
        <c:majorTickMark val="in"/>
        <c:minorTickMark val="none"/>
        <c:tickLblPos val="nextTo"/>
        <c:crossAx val="1363790800"/>
        <c:crosses val="autoZero"/>
        <c:crossBetween val="midCat"/>
      </c:valAx>
      <c:spPr>
        <a:ln>
          <a:solidFill>
            <a:schemeClr val="tx1"/>
          </a:solid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8C16-41DA-4A54-BECE-B5E66FA2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Knotts</dc:creator>
  <cp:lastModifiedBy>Tom Fletcher</cp:lastModifiedBy>
  <cp:revision>4</cp:revision>
  <cp:lastPrinted>2011-08-30T13:44:00Z</cp:lastPrinted>
  <dcterms:created xsi:type="dcterms:W3CDTF">2013-11-05T21:02:00Z</dcterms:created>
  <dcterms:modified xsi:type="dcterms:W3CDTF">2015-10-20T19:06:00Z</dcterms:modified>
</cp:coreProperties>
</file>